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3056C" w14:textId="77777777" w:rsidR="007C13B0" w:rsidRDefault="007C13B0" w:rsidP="007C13B0">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5175D826" wp14:editId="17F98D58">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r>
        <w:rPr>
          <w:rFonts w:ascii="Times New Roman" w:hAnsi="Times New Roman" w:cs="Times New Roman"/>
          <w:sz w:val="40"/>
          <w:szCs w:val="40"/>
        </w:rPr>
        <w:tab/>
      </w:r>
    </w:p>
    <w:p w14:paraId="7AB3E948" w14:textId="77777777" w:rsidR="007C13B0" w:rsidRDefault="007C13B0" w:rsidP="007C13B0">
      <w:pPr>
        <w:rPr>
          <w:rFonts w:ascii="Times New Roman" w:hAnsi="Times New Roman" w:cs="Times New Roman"/>
          <w:sz w:val="40"/>
          <w:szCs w:val="40"/>
        </w:rPr>
      </w:pPr>
    </w:p>
    <w:p w14:paraId="63096252" w14:textId="77777777" w:rsidR="007C13B0" w:rsidRDefault="007C13B0" w:rsidP="007C13B0">
      <w:pPr>
        <w:rPr>
          <w:rFonts w:ascii="Times New Roman" w:hAnsi="Times New Roman" w:cs="Times New Roman"/>
          <w:sz w:val="40"/>
          <w:szCs w:val="40"/>
        </w:rPr>
      </w:pPr>
    </w:p>
    <w:p w14:paraId="7A0DC4AB" w14:textId="49D6D366" w:rsidR="007C13B0" w:rsidRPr="003869FF" w:rsidRDefault="007C13B0" w:rsidP="007C13B0">
      <w:pPr>
        <w:rPr>
          <w:rFonts w:ascii="Times New Roman" w:hAnsi="Times New Roman" w:cs="Times New Roman"/>
          <w:sz w:val="40"/>
          <w:szCs w:val="40"/>
        </w:rPr>
      </w:pPr>
      <w:r>
        <w:rPr>
          <w:rFonts w:ascii="Times New Roman" w:hAnsi="Times New Roman" w:cs="Times New Roman"/>
          <w:sz w:val="44"/>
          <w:szCs w:val="44"/>
        </w:rPr>
        <w:t>Intrusion Analysis and Response</w:t>
      </w:r>
    </w:p>
    <w:p w14:paraId="7D3ECF00" w14:textId="0A0F9B58" w:rsidR="007C13B0" w:rsidRPr="003869FF" w:rsidRDefault="007C13B0" w:rsidP="007C13B0">
      <w:pPr>
        <w:rPr>
          <w:rFonts w:ascii="Times New Roman" w:hAnsi="Times New Roman" w:cs="Times New Roman"/>
          <w:sz w:val="32"/>
          <w:szCs w:val="32"/>
        </w:rPr>
      </w:pPr>
      <w:r w:rsidRPr="003869FF">
        <w:rPr>
          <w:rFonts w:ascii="Times New Roman" w:hAnsi="Times New Roman" w:cs="Times New Roman"/>
          <w:sz w:val="32"/>
          <w:szCs w:val="32"/>
        </w:rPr>
        <w:t xml:space="preserve">Assessment 2: </w:t>
      </w:r>
      <w:r>
        <w:rPr>
          <w:rFonts w:ascii="Times New Roman" w:hAnsi="Times New Roman" w:cs="Times New Roman"/>
          <w:sz w:val="32"/>
          <w:szCs w:val="32"/>
        </w:rPr>
        <w:t>Post-incident report</w:t>
      </w:r>
    </w:p>
    <w:p w14:paraId="6D982F01" w14:textId="7476D75D" w:rsidR="007C13B0" w:rsidRDefault="007C13B0" w:rsidP="007C13B0">
      <w:pPr>
        <w:rPr>
          <w:rFonts w:ascii="Times New Roman" w:hAnsi="Times New Roman" w:cs="Times New Roman"/>
          <w:sz w:val="32"/>
          <w:szCs w:val="32"/>
        </w:rPr>
      </w:pPr>
      <w:r w:rsidRPr="003869FF">
        <w:rPr>
          <w:rFonts w:ascii="Times New Roman" w:hAnsi="Times New Roman" w:cs="Times New Roman"/>
          <w:sz w:val="32"/>
          <w:szCs w:val="32"/>
        </w:rPr>
        <w:t xml:space="preserve">Module Coordinator: </w:t>
      </w:r>
      <w:r>
        <w:rPr>
          <w:rFonts w:ascii="Times New Roman" w:hAnsi="Times New Roman" w:cs="Times New Roman"/>
          <w:sz w:val="32"/>
          <w:szCs w:val="32"/>
        </w:rPr>
        <w:t>Z Richards</w:t>
      </w:r>
    </w:p>
    <w:p w14:paraId="09DB851B" w14:textId="31F19071" w:rsidR="007C13B0" w:rsidRPr="003869FF" w:rsidRDefault="007C13B0" w:rsidP="007C13B0">
      <w:pPr>
        <w:rPr>
          <w:rFonts w:ascii="Times New Roman" w:hAnsi="Times New Roman" w:cs="Times New Roman"/>
          <w:sz w:val="32"/>
          <w:szCs w:val="32"/>
        </w:rPr>
      </w:pPr>
      <w:r>
        <w:rPr>
          <w:rFonts w:ascii="Times New Roman" w:hAnsi="Times New Roman" w:cs="Times New Roman"/>
          <w:sz w:val="32"/>
          <w:szCs w:val="32"/>
        </w:rPr>
        <w:t>Marker: Z Richards</w:t>
      </w:r>
    </w:p>
    <w:p w14:paraId="02502AE2" w14:textId="77777777" w:rsidR="007C13B0" w:rsidRPr="003869FF" w:rsidRDefault="007C13B0" w:rsidP="007C13B0">
      <w:pPr>
        <w:rPr>
          <w:rFonts w:ascii="Times New Roman" w:hAnsi="Times New Roman" w:cs="Times New Roman"/>
          <w:sz w:val="32"/>
          <w:szCs w:val="32"/>
        </w:rPr>
      </w:pPr>
    </w:p>
    <w:p w14:paraId="5889DAC5" w14:textId="77777777" w:rsidR="007C13B0" w:rsidRPr="003869FF" w:rsidRDefault="007C13B0" w:rsidP="007C13B0">
      <w:pPr>
        <w:rPr>
          <w:rFonts w:ascii="Times New Roman" w:hAnsi="Times New Roman" w:cs="Times New Roman"/>
          <w:sz w:val="32"/>
          <w:szCs w:val="32"/>
        </w:rPr>
      </w:pPr>
    </w:p>
    <w:p w14:paraId="3B9A9A06" w14:textId="77777777" w:rsidR="007C13B0" w:rsidRPr="003869FF" w:rsidRDefault="007C13B0" w:rsidP="007C13B0">
      <w:pPr>
        <w:rPr>
          <w:rFonts w:ascii="Times New Roman" w:hAnsi="Times New Roman" w:cs="Times New Roman"/>
          <w:sz w:val="32"/>
          <w:szCs w:val="32"/>
        </w:rPr>
      </w:pPr>
    </w:p>
    <w:p w14:paraId="3513BC96" w14:textId="77777777" w:rsidR="007C13B0" w:rsidRPr="003869FF" w:rsidRDefault="007C13B0" w:rsidP="007C13B0">
      <w:pPr>
        <w:rPr>
          <w:rFonts w:ascii="Times New Roman" w:hAnsi="Times New Roman" w:cs="Times New Roman"/>
          <w:sz w:val="32"/>
          <w:szCs w:val="32"/>
        </w:rPr>
      </w:pPr>
    </w:p>
    <w:p w14:paraId="51368941" w14:textId="77777777" w:rsidR="007C13B0" w:rsidRPr="003869FF" w:rsidRDefault="007C13B0" w:rsidP="007C13B0">
      <w:pPr>
        <w:rPr>
          <w:rFonts w:ascii="Times New Roman" w:hAnsi="Times New Roman" w:cs="Times New Roman"/>
          <w:sz w:val="32"/>
          <w:szCs w:val="32"/>
        </w:rPr>
      </w:pPr>
    </w:p>
    <w:p w14:paraId="343C5662" w14:textId="77777777" w:rsidR="007C13B0" w:rsidRPr="003869FF" w:rsidRDefault="007C13B0" w:rsidP="007C13B0">
      <w:pPr>
        <w:rPr>
          <w:rFonts w:ascii="Times New Roman" w:hAnsi="Times New Roman" w:cs="Times New Roman"/>
          <w:sz w:val="32"/>
          <w:szCs w:val="32"/>
        </w:rPr>
      </w:pPr>
    </w:p>
    <w:p w14:paraId="09CACA4B" w14:textId="77777777" w:rsidR="007C13B0" w:rsidRPr="003869FF" w:rsidRDefault="007C13B0" w:rsidP="007C13B0">
      <w:pPr>
        <w:rPr>
          <w:rFonts w:ascii="Times New Roman" w:hAnsi="Times New Roman" w:cs="Times New Roman"/>
          <w:sz w:val="32"/>
          <w:szCs w:val="32"/>
        </w:rPr>
      </w:pPr>
    </w:p>
    <w:p w14:paraId="43BF46CF" w14:textId="77777777" w:rsidR="007C13B0" w:rsidRPr="003869FF" w:rsidRDefault="007C13B0" w:rsidP="007C13B0">
      <w:pPr>
        <w:rPr>
          <w:rFonts w:ascii="Times New Roman" w:hAnsi="Times New Roman" w:cs="Times New Roman"/>
          <w:sz w:val="32"/>
          <w:szCs w:val="32"/>
        </w:rPr>
      </w:pPr>
    </w:p>
    <w:p w14:paraId="1E6A5084" w14:textId="77777777" w:rsidR="007C13B0" w:rsidRPr="003869FF" w:rsidRDefault="007C13B0" w:rsidP="007C13B0">
      <w:pPr>
        <w:rPr>
          <w:rFonts w:ascii="Times New Roman" w:hAnsi="Times New Roman" w:cs="Times New Roman"/>
          <w:sz w:val="32"/>
          <w:szCs w:val="32"/>
        </w:rPr>
      </w:pPr>
    </w:p>
    <w:p w14:paraId="6F9F90F9" w14:textId="3AA38F88" w:rsidR="007C13B0" w:rsidRPr="003869FF" w:rsidRDefault="007C13B0" w:rsidP="007C13B0">
      <w:pPr>
        <w:rPr>
          <w:rFonts w:ascii="Times New Roman" w:hAnsi="Times New Roman" w:cs="Times New Roman"/>
          <w:sz w:val="32"/>
          <w:szCs w:val="32"/>
        </w:rPr>
      </w:pPr>
      <w:r w:rsidRPr="003869FF">
        <w:rPr>
          <w:rFonts w:ascii="Times New Roman" w:hAnsi="Times New Roman" w:cs="Times New Roman"/>
          <w:sz w:val="32"/>
          <w:szCs w:val="32"/>
        </w:rPr>
        <w:t>Date of submission:</w:t>
      </w:r>
      <w:r>
        <w:rPr>
          <w:rFonts w:ascii="Times New Roman" w:hAnsi="Times New Roman" w:cs="Times New Roman"/>
          <w:sz w:val="32"/>
          <w:szCs w:val="32"/>
        </w:rPr>
        <w:t xml:space="preserve"> 24/05/2024</w:t>
      </w:r>
    </w:p>
    <w:p w14:paraId="57898310" w14:textId="0D9DA39D" w:rsidR="007C13B0" w:rsidRPr="003869FF" w:rsidRDefault="007C13B0" w:rsidP="007C13B0">
      <w:pPr>
        <w:rPr>
          <w:rFonts w:ascii="Times New Roman" w:hAnsi="Times New Roman" w:cs="Times New Roman"/>
          <w:sz w:val="32"/>
          <w:szCs w:val="32"/>
        </w:rPr>
      </w:pPr>
      <w:r w:rsidRPr="003869FF">
        <w:rPr>
          <w:rFonts w:ascii="Times New Roman" w:hAnsi="Times New Roman" w:cs="Times New Roman"/>
          <w:sz w:val="32"/>
          <w:szCs w:val="32"/>
        </w:rPr>
        <w:t>Number of words:</w:t>
      </w:r>
      <w:r>
        <w:rPr>
          <w:rFonts w:ascii="Times New Roman" w:hAnsi="Times New Roman" w:cs="Times New Roman"/>
          <w:sz w:val="32"/>
          <w:szCs w:val="32"/>
        </w:rPr>
        <w:t xml:space="preserve"> </w:t>
      </w:r>
      <w:r w:rsidR="00237C07">
        <w:rPr>
          <w:rFonts w:ascii="Times New Roman" w:hAnsi="Times New Roman" w:cs="Times New Roman"/>
          <w:sz w:val="32"/>
          <w:szCs w:val="32"/>
        </w:rPr>
        <w:t>200</w:t>
      </w:r>
      <w:r w:rsidR="00E06DEC">
        <w:rPr>
          <w:rFonts w:ascii="Times New Roman" w:hAnsi="Times New Roman" w:cs="Times New Roman"/>
          <w:sz w:val="32"/>
          <w:szCs w:val="32"/>
        </w:rPr>
        <w:t>4</w:t>
      </w:r>
      <w:r w:rsidR="000E7196">
        <w:rPr>
          <w:rFonts w:ascii="Times New Roman" w:hAnsi="Times New Roman" w:cs="Times New Roman"/>
          <w:sz w:val="32"/>
          <w:szCs w:val="32"/>
        </w:rPr>
        <w:tab/>
      </w:r>
    </w:p>
    <w:p w14:paraId="07D5B8BE" w14:textId="50FFE42A" w:rsidR="00A61E2F" w:rsidRPr="00FF1AB4" w:rsidRDefault="005D0665" w:rsidP="005D0665">
      <w:pPr>
        <w:pStyle w:val="Heading1"/>
        <w:rPr>
          <w:rFonts w:ascii="Times New Roman" w:hAnsi="Times New Roman" w:cs="Times New Roman"/>
        </w:rPr>
      </w:pPr>
      <w:bookmarkStart w:id="0" w:name="_Toc166075760"/>
      <w:r w:rsidRPr="00FF1AB4">
        <w:rPr>
          <w:rFonts w:ascii="Times New Roman" w:hAnsi="Times New Roman" w:cs="Times New Roman"/>
        </w:rPr>
        <w:lastRenderedPageBreak/>
        <w:t>Abstract:</w:t>
      </w:r>
      <w:bookmarkEnd w:id="0"/>
    </w:p>
    <w:p w14:paraId="2375A7BC" w14:textId="74689BC7" w:rsidR="004C6EB3" w:rsidRPr="00FF1AB4" w:rsidRDefault="003567B0" w:rsidP="004C6EB3">
      <w:pPr>
        <w:rPr>
          <w:rFonts w:ascii="Times New Roman" w:hAnsi="Times New Roman" w:cs="Times New Roman"/>
        </w:rPr>
      </w:pPr>
      <w:r w:rsidRPr="00FF1AB4">
        <w:rPr>
          <w:rFonts w:ascii="Times New Roman" w:hAnsi="Times New Roman" w:cs="Times New Roman"/>
        </w:rPr>
        <w:t>This post-incident response report evaluates the handling of cyber security breaches by SecBam as per established frameworks and best practices. We employed the NIST Incident Response Framework to inform our approaches in readiness, identification, containment, and recuperation stages. In documenting our choices and deeds, we used the SANS incident response framework with an emphasis on other possible answers and their potential consequences. Internally and externally, there was effective use of communication strategies such as engagement of law enforcers and the relevant stakeholders. Recommendations were made concerning how to improve security posture, restore trust, and refine incident response plans which were necessitated by a need to make continual improvements because of this incident. Hence, we collected digital forensic evidence meticulously to understand what had caused it and how we could strengthen our capabilities for responding to similar incidents better in the future.</w:t>
      </w:r>
    </w:p>
    <w:p w14:paraId="7B41416C" w14:textId="0640F848" w:rsidR="000E7196" w:rsidRPr="00FF1AB4" w:rsidRDefault="000E7196" w:rsidP="000E7196">
      <w:pPr>
        <w:pStyle w:val="Heading1"/>
        <w:rPr>
          <w:rFonts w:ascii="Times New Roman" w:hAnsi="Times New Roman" w:cs="Times New Roman"/>
        </w:rPr>
      </w:pPr>
      <w:r w:rsidRPr="00FF1AB4">
        <w:rPr>
          <w:rFonts w:ascii="Times New Roman" w:hAnsi="Times New Roman" w:cs="Times New Roman"/>
        </w:rPr>
        <w:t>Introduction:</w:t>
      </w:r>
    </w:p>
    <w:p w14:paraId="5BD29D53" w14:textId="254A8B0D" w:rsidR="000E7196" w:rsidRPr="00FF1AB4" w:rsidRDefault="000E7196" w:rsidP="000E7196">
      <w:pPr>
        <w:rPr>
          <w:rFonts w:ascii="Times New Roman" w:hAnsi="Times New Roman" w:cs="Times New Roman"/>
        </w:rPr>
      </w:pPr>
      <w:r w:rsidRPr="00FF1AB4">
        <w:rPr>
          <w:rFonts w:ascii="Times New Roman" w:hAnsi="Times New Roman" w:cs="Times New Roman"/>
        </w:rPr>
        <w:t>Considering the constantly changing landscape of cybersecurity, a company’s ability to react promptly and effectively is crucial in averting risks and remaining resilient. This report looks at SecBam’s response to an ongoing cyberattack showing how it adopted well-structured approaches such as NIST or SANS frameworks. By way of written records, communication plans, and learning experiences, SecBam steered through the situation emphasizing that being vigilant about security issues and always trying to make things better are crucial to having good defences in place to mitigate potential incident risks.</w:t>
      </w:r>
    </w:p>
    <w:p w14:paraId="5B1F5751" w14:textId="055DACFE" w:rsidR="005D0665" w:rsidRPr="00FF1AB4" w:rsidRDefault="005D0665" w:rsidP="005D0665">
      <w:pPr>
        <w:pStyle w:val="Heading1"/>
        <w:rPr>
          <w:rFonts w:ascii="Times New Roman" w:hAnsi="Times New Roman" w:cs="Times New Roman"/>
        </w:rPr>
      </w:pPr>
      <w:bookmarkStart w:id="1" w:name="_Toc166075762"/>
      <w:r w:rsidRPr="00FF1AB4">
        <w:rPr>
          <w:rFonts w:ascii="Times New Roman" w:hAnsi="Times New Roman" w:cs="Times New Roman"/>
        </w:rPr>
        <w:t>Incident Response Framework Adoption:</w:t>
      </w:r>
      <w:bookmarkEnd w:id="1"/>
    </w:p>
    <w:p w14:paraId="719FBFA9" w14:textId="0397312F" w:rsidR="00476EAD" w:rsidRPr="00FF1AB4" w:rsidRDefault="00476EAD" w:rsidP="00476EAD">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Whilst participating in the incident and response process as part of the cyber security incident response team (CSIRT), </w:t>
      </w:r>
      <w:r w:rsidRPr="00FF1AB4">
        <w:rPr>
          <w:rFonts w:ascii="Times New Roman" w:eastAsia="Times New Roman" w:hAnsi="Times New Roman" w:cs="Times New Roman"/>
          <w:sz w:val="24"/>
          <w:szCs w:val="24"/>
          <w:lang w:eastAsia="en-GB"/>
        </w:rPr>
        <w:t xml:space="preserve">(National Cyber Security Centre, 2019) we ensured that the NIST Incident response framework was </w:t>
      </w:r>
      <w:r w:rsidR="00B37925" w:rsidRPr="00FF1AB4">
        <w:rPr>
          <w:rFonts w:ascii="Times New Roman" w:eastAsia="Times New Roman" w:hAnsi="Times New Roman" w:cs="Times New Roman"/>
          <w:sz w:val="24"/>
          <w:szCs w:val="24"/>
          <w:lang w:eastAsia="en-GB"/>
        </w:rPr>
        <w:t>adopted,</w:t>
      </w:r>
      <w:r w:rsidRPr="00FF1AB4">
        <w:rPr>
          <w:rFonts w:ascii="Times New Roman" w:eastAsia="Times New Roman" w:hAnsi="Times New Roman" w:cs="Times New Roman"/>
          <w:sz w:val="24"/>
          <w:szCs w:val="24"/>
          <w:lang w:eastAsia="en-GB"/>
        </w:rPr>
        <w:t xml:space="preserve"> and applications were adhered to and </w:t>
      </w:r>
      <w:r w:rsidR="00B37925" w:rsidRPr="00FF1AB4">
        <w:rPr>
          <w:rFonts w:ascii="Times New Roman" w:eastAsia="Times New Roman" w:hAnsi="Times New Roman" w:cs="Times New Roman"/>
          <w:sz w:val="24"/>
          <w:szCs w:val="24"/>
          <w:lang w:eastAsia="en-GB"/>
        </w:rPr>
        <w:t>helped</w:t>
      </w:r>
      <w:r w:rsidRPr="00FF1AB4">
        <w:rPr>
          <w:rFonts w:ascii="Times New Roman" w:eastAsia="Times New Roman" w:hAnsi="Times New Roman" w:cs="Times New Roman"/>
          <w:sz w:val="24"/>
          <w:szCs w:val="24"/>
          <w:lang w:eastAsia="en-GB"/>
        </w:rPr>
        <w:t xml:space="preserve"> play a pivotal role in guiding the response process and bring the system back to a working state.</w:t>
      </w:r>
    </w:p>
    <w:p w14:paraId="539A37F4" w14:textId="5F2F2E54" w:rsidR="00476EAD" w:rsidRPr="00FF1AB4" w:rsidRDefault="00476EAD" w:rsidP="00476EAD">
      <w:pPr>
        <w:rPr>
          <w:rFonts w:ascii="Times New Roman" w:eastAsia="Times New Roman" w:hAnsi="Times New Roman" w:cs="Times New Roman"/>
          <w:sz w:val="24"/>
          <w:szCs w:val="24"/>
          <w:lang w:eastAsia="en-GB"/>
        </w:rPr>
      </w:pPr>
      <w:r w:rsidRPr="00FF1AB4">
        <w:rPr>
          <w:rFonts w:ascii="Times New Roman" w:eastAsia="Times New Roman" w:hAnsi="Times New Roman" w:cs="Times New Roman"/>
          <w:sz w:val="24"/>
          <w:szCs w:val="24"/>
          <w:lang w:eastAsia="en-GB"/>
        </w:rPr>
        <w:t xml:space="preserve">The NIST framework works </w:t>
      </w:r>
      <w:r w:rsidR="002E0F80" w:rsidRPr="00FF1AB4">
        <w:rPr>
          <w:rFonts w:ascii="Times New Roman" w:eastAsia="Times New Roman" w:hAnsi="Times New Roman" w:cs="Times New Roman"/>
          <w:sz w:val="24"/>
          <w:szCs w:val="24"/>
          <w:lang w:eastAsia="en-GB"/>
        </w:rPr>
        <w:t xml:space="preserve">in two halves shown in the figure below, Preparation and the actual Incident Response Life Cycle; Preparation contains Govern, Identify, and Protect. The Incident Response Life Cycle contains Detect, Respond, and Recover, these two frameworks work together to continually improve which is indicated by the Identify Improvement category and the dashed green lines, </w:t>
      </w:r>
      <w:r w:rsidR="001B0CD4" w:rsidRPr="00FF1AB4">
        <w:rPr>
          <w:rFonts w:ascii="Times New Roman" w:eastAsia="Times New Roman" w:hAnsi="Times New Roman" w:cs="Times New Roman"/>
          <w:sz w:val="24"/>
          <w:szCs w:val="24"/>
          <w:lang w:eastAsia="en-GB"/>
        </w:rPr>
        <w:t>all</w:t>
      </w:r>
      <w:r w:rsidR="002E0F80" w:rsidRPr="00FF1AB4">
        <w:rPr>
          <w:rFonts w:ascii="Times New Roman" w:eastAsia="Times New Roman" w:hAnsi="Times New Roman" w:cs="Times New Roman"/>
          <w:sz w:val="24"/>
          <w:szCs w:val="24"/>
          <w:lang w:eastAsia="en-GB"/>
        </w:rPr>
        <w:t xml:space="preserve"> these lessons learned from each activity in the framework are fed into improvement to later be </w:t>
      </w:r>
      <w:r w:rsidR="00B37925" w:rsidRPr="00FF1AB4">
        <w:rPr>
          <w:rFonts w:ascii="Times New Roman" w:eastAsia="Times New Roman" w:hAnsi="Times New Roman" w:cs="Times New Roman"/>
          <w:sz w:val="24"/>
          <w:szCs w:val="24"/>
          <w:lang w:eastAsia="en-GB"/>
        </w:rPr>
        <w:t>analysed</w:t>
      </w:r>
      <w:r w:rsidR="002E0F80" w:rsidRPr="00FF1AB4">
        <w:rPr>
          <w:rFonts w:ascii="Times New Roman" w:eastAsia="Times New Roman" w:hAnsi="Times New Roman" w:cs="Times New Roman"/>
          <w:sz w:val="24"/>
          <w:szCs w:val="24"/>
          <w:lang w:eastAsia="en-GB"/>
        </w:rPr>
        <w:t xml:space="preserve">, </w:t>
      </w:r>
      <w:r w:rsidR="00643333" w:rsidRPr="00FF1AB4">
        <w:rPr>
          <w:rFonts w:ascii="Times New Roman" w:eastAsia="Times New Roman" w:hAnsi="Times New Roman" w:cs="Times New Roman"/>
          <w:sz w:val="24"/>
          <w:szCs w:val="24"/>
          <w:lang w:eastAsia="en-GB"/>
        </w:rPr>
        <w:t>prioritized,</w:t>
      </w:r>
      <w:r w:rsidR="002E0F80" w:rsidRPr="00FF1AB4">
        <w:rPr>
          <w:rFonts w:ascii="Times New Roman" w:eastAsia="Times New Roman" w:hAnsi="Times New Roman" w:cs="Times New Roman"/>
          <w:sz w:val="24"/>
          <w:szCs w:val="24"/>
          <w:lang w:eastAsia="en-GB"/>
        </w:rPr>
        <w:t xml:space="preserve"> and used to share data across each of the functions. </w:t>
      </w:r>
      <w:r w:rsidR="001B0CD4" w:rsidRPr="00FF1AB4">
        <w:rPr>
          <w:rFonts w:ascii="Times New Roman" w:eastAsia="Times New Roman" w:hAnsi="Times New Roman" w:cs="Times New Roman"/>
          <w:sz w:val="24"/>
          <w:szCs w:val="24"/>
          <w:lang w:eastAsia="en-GB"/>
        </w:rPr>
        <w:t>(Computer Security Division, 2024)</w:t>
      </w:r>
    </w:p>
    <w:p w14:paraId="7F5D83AD" w14:textId="63AF36D1" w:rsidR="002E0F80" w:rsidRPr="00FF1AB4" w:rsidRDefault="002E0F80" w:rsidP="00476EAD">
      <w:pPr>
        <w:rPr>
          <w:rFonts w:ascii="Times New Roman" w:eastAsia="Times New Roman" w:hAnsi="Times New Roman" w:cs="Times New Roman"/>
          <w:sz w:val="24"/>
          <w:szCs w:val="24"/>
          <w:lang w:eastAsia="en-GB"/>
        </w:rPr>
      </w:pPr>
      <w:r w:rsidRPr="00FF1AB4">
        <w:rPr>
          <w:rFonts w:ascii="Times New Roman" w:hAnsi="Times New Roman" w:cs="Times New Roman"/>
          <w:noProof/>
        </w:rPr>
        <w:drawing>
          <wp:inline distT="0" distB="0" distL="0" distR="0" wp14:anchorId="22C89D08" wp14:editId="74A3A2ED">
            <wp:extent cx="2719346" cy="2102325"/>
            <wp:effectExtent l="0" t="0" r="5080" b="0"/>
            <wp:docPr id="516808031"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08031" name="Picture 1" descr="A diagram of a proces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8761" cy="2109604"/>
                    </a:xfrm>
                    <a:prstGeom prst="rect">
                      <a:avLst/>
                    </a:prstGeom>
                    <a:noFill/>
                    <a:ln>
                      <a:noFill/>
                    </a:ln>
                  </pic:spPr>
                </pic:pic>
              </a:graphicData>
            </a:graphic>
          </wp:inline>
        </w:drawing>
      </w:r>
      <w:r w:rsidR="001B0CD4" w:rsidRPr="00FF1AB4">
        <w:rPr>
          <w:rFonts w:ascii="Times New Roman" w:hAnsi="Times New Roman" w:cs="Times New Roman"/>
        </w:rPr>
        <w:t xml:space="preserve"> </w:t>
      </w:r>
      <w:r w:rsidR="001B0CD4" w:rsidRPr="00FF1AB4">
        <w:rPr>
          <w:rFonts w:ascii="Times New Roman" w:eastAsia="Times New Roman" w:hAnsi="Times New Roman" w:cs="Times New Roman"/>
          <w:sz w:val="24"/>
          <w:szCs w:val="24"/>
          <w:lang w:eastAsia="en-GB"/>
        </w:rPr>
        <w:t>(Computer Security Division, 2024)</w:t>
      </w:r>
    </w:p>
    <w:p w14:paraId="7AF39A65" w14:textId="58D631C9" w:rsidR="00476EAD" w:rsidRPr="00FF1AB4" w:rsidRDefault="00643333" w:rsidP="00476EAD">
      <w:pPr>
        <w:rPr>
          <w:rFonts w:ascii="Times New Roman" w:eastAsia="Times New Roman" w:hAnsi="Times New Roman" w:cs="Times New Roman"/>
          <w:sz w:val="24"/>
          <w:szCs w:val="24"/>
          <w:lang w:eastAsia="en-GB"/>
        </w:rPr>
      </w:pPr>
      <w:r w:rsidRPr="00FF1AB4">
        <w:rPr>
          <w:rFonts w:ascii="Times New Roman" w:eastAsia="Times New Roman" w:hAnsi="Times New Roman" w:cs="Times New Roman"/>
          <w:sz w:val="24"/>
          <w:szCs w:val="24"/>
          <w:lang w:eastAsia="en-GB"/>
        </w:rPr>
        <w:lastRenderedPageBreak/>
        <w:t>SecBam's incident response adhered to the NIST framework, showcasing a proactive approach in preparation with strict security policies and technical controls. Upon detection of a cybersecurity incident involving social engineering and malware, SecBam swiftly engaged in containment and eradication by mitigating the threat and ensuring system stability. The recovery phase involved restoring services and learning from the incident to enhance future security measures. This comprehensive response aligns with NIST's emphasis on prevention, detection, containment, and recovery.</w:t>
      </w:r>
      <w:r w:rsidR="004C1DA3" w:rsidRPr="00FF1AB4">
        <w:rPr>
          <w:rFonts w:ascii="Times New Roman" w:eastAsia="Times New Roman" w:hAnsi="Times New Roman" w:cs="Times New Roman"/>
          <w:sz w:val="24"/>
          <w:szCs w:val="24"/>
          <w:lang w:eastAsia="en-GB"/>
        </w:rPr>
        <w:t xml:space="preserve"> (Kashmer, 2022)</w:t>
      </w:r>
    </w:p>
    <w:p w14:paraId="696DD9F1" w14:textId="57A79093" w:rsidR="005D0665" w:rsidRPr="00FF1AB4" w:rsidRDefault="005D0665" w:rsidP="005D0665">
      <w:pPr>
        <w:pStyle w:val="Heading1"/>
        <w:rPr>
          <w:rFonts w:ascii="Times New Roman" w:hAnsi="Times New Roman" w:cs="Times New Roman"/>
        </w:rPr>
      </w:pPr>
      <w:bookmarkStart w:id="2" w:name="_Toc166075763"/>
      <w:r w:rsidRPr="00FF1AB4">
        <w:rPr>
          <w:rFonts w:ascii="Times New Roman" w:hAnsi="Times New Roman" w:cs="Times New Roman"/>
        </w:rPr>
        <w:t>Actions and Decisions of Documentation:</w:t>
      </w:r>
      <w:bookmarkEnd w:id="2"/>
    </w:p>
    <w:p w14:paraId="46811840" w14:textId="6B6CA936" w:rsidR="00BC3CD9" w:rsidRPr="00FF1AB4" w:rsidRDefault="00BC3CD9" w:rsidP="00BC3CD9">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Using the SANS incident response framework we can observe the six phases of the response process </w:t>
      </w:r>
      <w:r w:rsidR="0040499E" w:rsidRPr="00FF1AB4">
        <w:rPr>
          <w:rFonts w:ascii="Times New Roman" w:hAnsi="Times New Roman" w:cs="Times New Roman"/>
        </w:rPr>
        <w:t>and how</w:t>
      </w:r>
      <w:r w:rsidRPr="00FF1AB4">
        <w:rPr>
          <w:rFonts w:ascii="Times New Roman" w:hAnsi="Times New Roman" w:cs="Times New Roman"/>
        </w:rPr>
        <w:t xml:space="preserve"> SecBam handled the incident in this given scenario</w:t>
      </w:r>
      <w:r w:rsidR="0040499E" w:rsidRPr="00FF1AB4">
        <w:rPr>
          <w:rFonts w:ascii="Times New Roman" w:hAnsi="Times New Roman" w:cs="Times New Roman"/>
        </w:rPr>
        <w:t xml:space="preserve">. </w:t>
      </w:r>
      <w:r w:rsidR="0040499E" w:rsidRPr="00FF1AB4">
        <w:rPr>
          <w:rFonts w:ascii="Times New Roman" w:eastAsia="Times New Roman" w:hAnsi="Times New Roman" w:cs="Times New Roman"/>
          <w:sz w:val="24"/>
          <w:szCs w:val="24"/>
          <w:lang w:eastAsia="en-GB"/>
        </w:rPr>
        <w:t>(Bluevoyant, 2024)</w:t>
      </w:r>
    </w:p>
    <w:p w14:paraId="0E9B4D1F" w14:textId="5C89C7DA" w:rsidR="00BC3CD9" w:rsidRPr="00FF1AB4" w:rsidRDefault="00BC3CD9" w:rsidP="00BC3CD9">
      <w:pPr>
        <w:pStyle w:val="Heading2"/>
        <w:rPr>
          <w:rFonts w:ascii="Times New Roman" w:hAnsi="Times New Roman" w:cs="Times New Roman"/>
        </w:rPr>
      </w:pPr>
      <w:bookmarkStart w:id="3" w:name="_Toc166075764"/>
      <w:r w:rsidRPr="00FF1AB4">
        <w:rPr>
          <w:rFonts w:ascii="Times New Roman" w:hAnsi="Times New Roman" w:cs="Times New Roman"/>
        </w:rPr>
        <w:t>Preparation Phase:</w:t>
      </w:r>
      <w:bookmarkEnd w:id="3"/>
    </w:p>
    <w:p w14:paraId="76EA587A" w14:textId="263F8E90" w:rsidR="00BC3CD9" w:rsidRPr="00FF1AB4" w:rsidRDefault="00BC3CD9" w:rsidP="00BC3CD9">
      <w:pPr>
        <w:rPr>
          <w:rFonts w:ascii="Times New Roman" w:eastAsia="Times New Roman" w:hAnsi="Times New Roman" w:cs="Times New Roman"/>
          <w:sz w:val="24"/>
          <w:szCs w:val="24"/>
          <w:lang w:eastAsia="en-GB"/>
        </w:rPr>
      </w:pPr>
      <w:r w:rsidRPr="00FF1AB4">
        <w:rPr>
          <w:rFonts w:ascii="Times New Roman" w:hAnsi="Times New Roman" w:cs="Times New Roman"/>
        </w:rPr>
        <w:t>Action: Implementing security measures such, as firewalls and intrusion detection/prevention systems (IDS/IPS).</w:t>
      </w:r>
      <w:r w:rsidR="0040499E" w:rsidRPr="00FF1AB4">
        <w:rPr>
          <w:rFonts w:ascii="Times New Roman" w:hAnsi="Times New Roman" w:cs="Times New Roman"/>
        </w:rPr>
        <w:t xml:space="preserve"> </w:t>
      </w:r>
      <w:r w:rsidR="0040499E" w:rsidRPr="00FF1AB4">
        <w:rPr>
          <w:rFonts w:ascii="Times New Roman" w:eastAsia="Times New Roman" w:hAnsi="Times New Roman" w:cs="Times New Roman"/>
          <w:sz w:val="24"/>
          <w:szCs w:val="24"/>
          <w:lang w:eastAsia="en-GB"/>
        </w:rPr>
        <w:t>(Mohanakrishnan, 2022)</w:t>
      </w:r>
    </w:p>
    <w:p w14:paraId="5601B600" w14:textId="4E520F3E" w:rsidR="00BC3CD9" w:rsidRPr="00FF1AB4" w:rsidRDefault="00BC3CD9" w:rsidP="00BC3CD9">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Decision: Prohibiting employees from using email or visiting work-related websites during working hours. </w:t>
      </w:r>
      <w:r w:rsidR="00B768C8" w:rsidRPr="00FF1AB4">
        <w:rPr>
          <w:rFonts w:ascii="Times New Roman" w:eastAsia="Times New Roman" w:hAnsi="Times New Roman" w:cs="Times New Roman"/>
          <w:sz w:val="24"/>
          <w:szCs w:val="24"/>
          <w:lang w:eastAsia="en-GB"/>
        </w:rPr>
        <w:t>(NCSC, 2018)</w:t>
      </w:r>
    </w:p>
    <w:p w14:paraId="1C37AE8B" w14:textId="2C759A8C" w:rsidR="00BC3CD9" w:rsidRPr="00FF1AB4" w:rsidRDefault="00BC3CD9" w:rsidP="00BC3CD9">
      <w:pPr>
        <w:rPr>
          <w:rFonts w:ascii="Times New Roman" w:eastAsia="Times New Roman" w:hAnsi="Times New Roman" w:cs="Times New Roman"/>
          <w:sz w:val="24"/>
          <w:szCs w:val="24"/>
          <w:lang w:eastAsia="en-GB"/>
        </w:rPr>
      </w:pPr>
      <w:r w:rsidRPr="00FF1AB4">
        <w:rPr>
          <w:rFonts w:ascii="Times New Roman" w:hAnsi="Times New Roman" w:cs="Times New Roman"/>
        </w:rPr>
        <w:t>Reason: To minimize the risk of falling victim to phishing attacks and malware intrusions ensuring an environment for data.</w:t>
      </w:r>
      <w:r w:rsidR="00B768C8" w:rsidRPr="00FF1AB4">
        <w:rPr>
          <w:rFonts w:ascii="Times New Roman" w:hAnsi="Times New Roman" w:cs="Times New Roman"/>
        </w:rPr>
        <w:t xml:space="preserve"> </w:t>
      </w:r>
      <w:r w:rsidR="00B768C8" w:rsidRPr="00FF1AB4">
        <w:rPr>
          <w:rFonts w:ascii="Times New Roman" w:eastAsia="Times New Roman" w:hAnsi="Times New Roman" w:cs="Times New Roman"/>
          <w:sz w:val="24"/>
          <w:szCs w:val="24"/>
          <w:lang w:eastAsia="en-GB"/>
        </w:rPr>
        <w:t>(NCSC, 2018)</w:t>
      </w:r>
    </w:p>
    <w:p w14:paraId="1F2FCC36" w14:textId="3DF8DC16" w:rsidR="00BC3CD9" w:rsidRPr="00FF1AB4" w:rsidRDefault="00BC3CD9" w:rsidP="00BC3CD9">
      <w:pPr>
        <w:pStyle w:val="Heading2"/>
        <w:rPr>
          <w:rFonts w:ascii="Times New Roman" w:hAnsi="Times New Roman" w:cs="Times New Roman"/>
        </w:rPr>
      </w:pPr>
      <w:bookmarkStart w:id="4" w:name="_Toc166075765"/>
      <w:r w:rsidRPr="00FF1AB4">
        <w:rPr>
          <w:rFonts w:ascii="Times New Roman" w:hAnsi="Times New Roman" w:cs="Times New Roman"/>
        </w:rPr>
        <w:t>Detection/Analysis Phase:</w:t>
      </w:r>
      <w:bookmarkEnd w:id="4"/>
    </w:p>
    <w:p w14:paraId="07B9F290" w14:textId="2882F925" w:rsidR="00BC3CD9" w:rsidRPr="00FF1AB4" w:rsidRDefault="00BC3CD9" w:rsidP="00BC3CD9">
      <w:pPr>
        <w:rPr>
          <w:rFonts w:ascii="Times New Roman" w:hAnsi="Times New Roman" w:cs="Times New Roman"/>
        </w:rPr>
      </w:pPr>
      <w:r w:rsidRPr="00FF1AB4">
        <w:rPr>
          <w:rFonts w:ascii="Times New Roman" w:hAnsi="Times New Roman" w:cs="Times New Roman"/>
        </w:rPr>
        <w:t>Action: Identifying a cybersecurity incident involving social engineering tactics and malware.</w:t>
      </w:r>
    </w:p>
    <w:p w14:paraId="039B219C" w14:textId="0AA1CD0C" w:rsidR="00BC3CD9" w:rsidRPr="00FF1AB4" w:rsidRDefault="00BC3CD9" w:rsidP="00BC3CD9">
      <w:pPr>
        <w:rPr>
          <w:rFonts w:ascii="Times New Roman" w:hAnsi="Times New Roman" w:cs="Times New Roman"/>
        </w:rPr>
      </w:pPr>
      <w:r w:rsidRPr="00FF1AB4">
        <w:rPr>
          <w:rFonts w:ascii="Times New Roman" w:hAnsi="Times New Roman" w:cs="Times New Roman"/>
        </w:rPr>
        <w:t>Decision: Launch an investigation into the activities of the malware including communication with command-and-control servers and deletion of files.</w:t>
      </w:r>
    </w:p>
    <w:p w14:paraId="4ABD6E18" w14:textId="669E6EBA" w:rsidR="00BC3CD9" w:rsidRPr="00FF1AB4" w:rsidRDefault="00BC3CD9" w:rsidP="00BC3CD9">
      <w:pPr>
        <w:rPr>
          <w:rFonts w:ascii="Times New Roman" w:hAnsi="Times New Roman" w:cs="Times New Roman"/>
        </w:rPr>
      </w:pPr>
      <w:r w:rsidRPr="00FF1AB4">
        <w:rPr>
          <w:rFonts w:ascii="Times New Roman" w:hAnsi="Times New Roman" w:cs="Times New Roman"/>
        </w:rPr>
        <w:t>Reason: To assess the scope of the breach and understand its impact on both the organization and its clients.</w:t>
      </w:r>
    </w:p>
    <w:p w14:paraId="603558D2" w14:textId="77645307" w:rsidR="00BC3CD9" w:rsidRPr="00FF1AB4" w:rsidRDefault="00BC3CD9" w:rsidP="00BC3CD9">
      <w:pPr>
        <w:pStyle w:val="Heading2"/>
        <w:rPr>
          <w:rFonts w:ascii="Times New Roman" w:hAnsi="Times New Roman" w:cs="Times New Roman"/>
        </w:rPr>
      </w:pPr>
      <w:bookmarkStart w:id="5" w:name="_Toc166075766"/>
      <w:r w:rsidRPr="00FF1AB4">
        <w:rPr>
          <w:rFonts w:ascii="Times New Roman" w:hAnsi="Times New Roman" w:cs="Times New Roman"/>
        </w:rPr>
        <w:t>Containment/Eradication Phase:</w:t>
      </w:r>
      <w:bookmarkEnd w:id="5"/>
    </w:p>
    <w:p w14:paraId="799D62C7" w14:textId="639D6EBB" w:rsidR="00BC3CD9" w:rsidRPr="00FF1AB4" w:rsidRDefault="00BC3CD9" w:rsidP="00BC3CD9">
      <w:pPr>
        <w:rPr>
          <w:rFonts w:ascii="Times New Roman" w:eastAsia="Times New Roman" w:hAnsi="Times New Roman" w:cs="Times New Roman"/>
          <w:sz w:val="24"/>
          <w:szCs w:val="24"/>
          <w:lang w:eastAsia="en-GB"/>
        </w:rPr>
      </w:pPr>
      <w:r w:rsidRPr="00FF1AB4">
        <w:rPr>
          <w:rFonts w:ascii="Times New Roman" w:hAnsi="Times New Roman" w:cs="Times New Roman"/>
        </w:rPr>
        <w:t>Action: Immediately isolate the malware and impacted systems to prevent spread.</w:t>
      </w:r>
      <w:r w:rsidR="00F5415C" w:rsidRPr="00FF1AB4">
        <w:rPr>
          <w:rFonts w:ascii="Times New Roman" w:hAnsi="Times New Roman" w:cs="Times New Roman"/>
        </w:rPr>
        <w:t xml:space="preserve"> </w:t>
      </w:r>
      <w:r w:rsidR="00F5415C" w:rsidRPr="00FF1AB4">
        <w:rPr>
          <w:rFonts w:ascii="Times New Roman" w:eastAsia="Times New Roman" w:hAnsi="Times New Roman" w:cs="Times New Roman"/>
          <w:sz w:val="24"/>
          <w:szCs w:val="24"/>
          <w:lang w:eastAsia="en-GB"/>
        </w:rPr>
        <w:t>(IntaForensics, 2024)</w:t>
      </w:r>
    </w:p>
    <w:p w14:paraId="25E35B1D" w14:textId="568AE083" w:rsidR="00BC3CD9" w:rsidRPr="00FF1AB4" w:rsidRDefault="00BC3CD9" w:rsidP="00BC3CD9">
      <w:pPr>
        <w:rPr>
          <w:rFonts w:ascii="Times New Roman" w:hAnsi="Times New Roman" w:cs="Times New Roman"/>
        </w:rPr>
      </w:pPr>
      <w:r w:rsidRPr="00FF1AB4">
        <w:rPr>
          <w:rFonts w:ascii="Times New Roman" w:hAnsi="Times New Roman" w:cs="Times New Roman"/>
        </w:rPr>
        <w:t>Decision: Employing forensics to pinpoint the attack's origin and gauge the extent of the breach.</w:t>
      </w:r>
    </w:p>
    <w:p w14:paraId="7A7268D2" w14:textId="7C43EB45" w:rsidR="00BC3CD9" w:rsidRPr="00FF1AB4" w:rsidRDefault="00BC3CD9" w:rsidP="00BC3CD9">
      <w:pPr>
        <w:rPr>
          <w:rFonts w:ascii="Times New Roman" w:hAnsi="Times New Roman" w:cs="Times New Roman"/>
        </w:rPr>
      </w:pPr>
      <w:r w:rsidRPr="00FF1AB4">
        <w:rPr>
          <w:rFonts w:ascii="Times New Roman" w:hAnsi="Times New Roman" w:cs="Times New Roman"/>
        </w:rPr>
        <w:t>Reason: To halt activities, eliminate threats, and fortify systems against future risks.</w:t>
      </w:r>
    </w:p>
    <w:p w14:paraId="122C4CEF" w14:textId="32BF9F06" w:rsidR="00BC3CD9" w:rsidRPr="00FF1AB4" w:rsidRDefault="00BC3CD9" w:rsidP="00BC3CD9">
      <w:pPr>
        <w:pStyle w:val="Heading2"/>
        <w:rPr>
          <w:rFonts w:ascii="Times New Roman" w:hAnsi="Times New Roman" w:cs="Times New Roman"/>
        </w:rPr>
      </w:pPr>
      <w:bookmarkStart w:id="6" w:name="_Toc166075767"/>
      <w:r w:rsidRPr="00FF1AB4">
        <w:rPr>
          <w:rFonts w:ascii="Times New Roman" w:hAnsi="Times New Roman" w:cs="Times New Roman"/>
        </w:rPr>
        <w:t>Recovery Phase:</w:t>
      </w:r>
      <w:bookmarkEnd w:id="6"/>
    </w:p>
    <w:p w14:paraId="48901E0D" w14:textId="1748780F" w:rsidR="00BC3CD9" w:rsidRPr="00FF1AB4" w:rsidRDefault="00BC3CD9" w:rsidP="00BC3CD9">
      <w:pPr>
        <w:rPr>
          <w:rFonts w:ascii="Times New Roman" w:eastAsia="Times New Roman" w:hAnsi="Times New Roman" w:cs="Times New Roman"/>
          <w:sz w:val="24"/>
          <w:szCs w:val="24"/>
          <w:lang w:eastAsia="en-GB"/>
        </w:rPr>
      </w:pPr>
      <w:r w:rsidRPr="00FF1AB4">
        <w:rPr>
          <w:rFonts w:ascii="Times New Roman" w:hAnsi="Times New Roman" w:cs="Times New Roman"/>
        </w:rPr>
        <w:t>Action: Restoring systems to functioning status and introducing preventive measures for future incidents.</w:t>
      </w:r>
      <w:r w:rsidR="009367AD" w:rsidRPr="00FF1AB4">
        <w:rPr>
          <w:rFonts w:ascii="Times New Roman" w:hAnsi="Times New Roman" w:cs="Times New Roman"/>
        </w:rPr>
        <w:t xml:space="preserve"> </w:t>
      </w:r>
      <w:r w:rsidR="009367AD" w:rsidRPr="00FF1AB4">
        <w:rPr>
          <w:rFonts w:ascii="Times New Roman" w:eastAsia="Times New Roman" w:hAnsi="Times New Roman" w:cs="Times New Roman"/>
          <w:sz w:val="24"/>
          <w:szCs w:val="24"/>
          <w:lang w:eastAsia="en-GB"/>
        </w:rPr>
        <w:t>(NCSC, 2021)</w:t>
      </w:r>
    </w:p>
    <w:p w14:paraId="7639EC3D" w14:textId="3EE1E9E8" w:rsidR="004C1DA3" w:rsidRPr="00FF1AB4" w:rsidRDefault="00BC3CD9" w:rsidP="00BC3CD9">
      <w:pPr>
        <w:rPr>
          <w:rFonts w:ascii="Times New Roman" w:eastAsia="Times New Roman" w:hAnsi="Times New Roman" w:cs="Times New Roman"/>
          <w:sz w:val="24"/>
          <w:szCs w:val="24"/>
          <w:lang w:eastAsia="en-GB"/>
        </w:rPr>
      </w:pPr>
      <w:r w:rsidRPr="00FF1AB4">
        <w:rPr>
          <w:rFonts w:ascii="Times New Roman" w:hAnsi="Times New Roman" w:cs="Times New Roman"/>
        </w:rPr>
        <w:t>Decision: Conducting an incident evaluation to extract insights, for improvement. To get services up and running it's important to make sure the issue doesn't happen again and put in place steps to avoid incidents, in the future by learning from what happened.</w:t>
      </w:r>
      <w:r w:rsidR="009367AD" w:rsidRPr="00FF1AB4">
        <w:rPr>
          <w:rFonts w:ascii="Times New Roman" w:hAnsi="Times New Roman" w:cs="Times New Roman"/>
        </w:rPr>
        <w:t xml:space="preserve"> </w:t>
      </w:r>
      <w:r w:rsidR="009367AD" w:rsidRPr="00FF1AB4">
        <w:rPr>
          <w:rFonts w:ascii="Times New Roman" w:eastAsia="Times New Roman" w:hAnsi="Times New Roman" w:cs="Times New Roman"/>
          <w:sz w:val="24"/>
          <w:szCs w:val="24"/>
          <w:lang w:eastAsia="en-GB"/>
        </w:rPr>
        <w:t>(NCSC, 2021)</w:t>
      </w:r>
    </w:p>
    <w:p w14:paraId="1C8B19C3" w14:textId="77777777" w:rsidR="00BC3CD9" w:rsidRPr="00FF1AB4" w:rsidRDefault="00BC3CD9" w:rsidP="00BC3CD9">
      <w:pPr>
        <w:pStyle w:val="Heading2"/>
        <w:rPr>
          <w:rFonts w:ascii="Times New Roman" w:hAnsi="Times New Roman" w:cs="Times New Roman"/>
        </w:rPr>
      </w:pPr>
      <w:bookmarkStart w:id="7" w:name="_Toc166075768"/>
      <w:r w:rsidRPr="00FF1AB4">
        <w:rPr>
          <w:rFonts w:ascii="Times New Roman" w:hAnsi="Times New Roman" w:cs="Times New Roman"/>
        </w:rPr>
        <w:t>Learned Lessons and Advice</w:t>
      </w:r>
      <w:bookmarkEnd w:id="7"/>
    </w:p>
    <w:p w14:paraId="1F68001E" w14:textId="73DB9040" w:rsidR="00BC3CD9" w:rsidRPr="00FF1AB4" w:rsidRDefault="00BC3CD9" w:rsidP="00BC3CD9">
      <w:pPr>
        <w:rPr>
          <w:rFonts w:ascii="Times New Roman" w:hAnsi="Times New Roman" w:cs="Times New Roman"/>
        </w:rPr>
      </w:pPr>
      <w:r w:rsidRPr="00FF1AB4">
        <w:rPr>
          <w:rFonts w:ascii="Times New Roman" w:hAnsi="Times New Roman" w:cs="Times New Roman"/>
        </w:rPr>
        <w:t xml:space="preserve">Action: </w:t>
      </w:r>
      <w:r w:rsidR="00B40A94" w:rsidRPr="00FF1AB4">
        <w:rPr>
          <w:rFonts w:ascii="Times New Roman" w:hAnsi="Times New Roman" w:cs="Times New Roman"/>
        </w:rPr>
        <w:t>Write</w:t>
      </w:r>
      <w:r w:rsidRPr="00FF1AB4">
        <w:rPr>
          <w:rFonts w:ascii="Times New Roman" w:hAnsi="Times New Roman" w:cs="Times New Roman"/>
        </w:rPr>
        <w:t xml:space="preserve"> down what happened, what we learned, and how to make things better in case it happens again.</w:t>
      </w:r>
    </w:p>
    <w:p w14:paraId="73D9542A" w14:textId="35D6B8AB" w:rsidR="00BC3CD9" w:rsidRPr="00FF1AB4" w:rsidRDefault="00BC3CD9" w:rsidP="00BC3CD9">
      <w:pPr>
        <w:rPr>
          <w:rFonts w:ascii="Times New Roman" w:hAnsi="Times New Roman" w:cs="Times New Roman"/>
        </w:rPr>
      </w:pPr>
      <w:r w:rsidRPr="00FF1AB4">
        <w:rPr>
          <w:rFonts w:ascii="Times New Roman" w:hAnsi="Times New Roman" w:cs="Times New Roman"/>
        </w:rPr>
        <w:t>Decision: Putting the advice into action to make security stronger, rebuild trust, and make the plan for what to do when things go wrong better.</w:t>
      </w:r>
    </w:p>
    <w:p w14:paraId="73CA0CC2" w14:textId="7DF35057" w:rsidR="00BC3CD9" w:rsidRPr="00FF1AB4" w:rsidRDefault="00BC3CD9" w:rsidP="00BC3CD9">
      <w:pPr>
        <w:rPr>
          <w:rFonts w:ascii="Times New Roman" w:hAnsi="Times New Roman" w:cs="Times New Roman"/>
        </w:rPr>
      </w:pPr>
      <w:r w:rsidRPr="00FF1AB4">
        <w:rPr>
          <w:rFonts w:ascii="Times New Roman" w:hAnsi="Times New Roman" w:cs="Times New Roman"/>
        </w:rPr>
        <w:lastRenderedPageBreak/>
        <w:t>Reason: Making sure we keep getting better at dealing with online attacks in our organization, faster and with less trouble.</w:t>
      </w:r>
      <w:r w:rsidR="007A7CC0" w:rsidRPr="00FF1AB4">
        <w:rPr>
          <w:rFonts w:ascii="Times New Roman" w:hAnsi="Times New Roman" w:cs="Times New Roman"/>
        </w:rPr>
        <w:t xml:space="preserve"> Action: Identifying a cybersecurity incident involving social engineering tactics and malware.</w:t>
      </w:r>
    </w:p>
    <w:p w14:paraId="1F4C6390" w14:textId="5B117A2B" w:rsidR="005D0665" w:rsidRPr="00FF1AB4" w:rsidRDefault="005D0665" w:rsidP="005D0665">
      <w:pPr>
        <w:pStyle w:val="Heading1"/>
        <w:rPr>
          <w:rFonts w:ascii="Times New Roman" w:hAnsi="Times New Roman" w:cs="Times New Roman"/>
        </w:rPr>
      </w:pPr>
      <w:bookmarkStart w:id="8" w:name="_Toc166075769"/>
      <w:r w:rsidRPr="00FF1AB4">
        <w:rPr>
          <w:rFonts w:ascii="Times New Roman" w:hAnsi="Times New Roman" w:cs="Times New Roman"/>
        </w:rPr>
        <w:t>Different actions and impacts:</w:t>
      </w:r>
      <w:bookmarkEnd w:id="8"/>
    </w:p>
    <w:p w14:paraId="0AEE6E1B" w14:textId="0A8F8336" w:rsidR="007A492F" w:rsidRPr="00FF1AB4" w:rsidRDefault="007A492F" w:rsidP="007A492F">
      <w:pPr>
        <w:rPr>
          <w:rFonts w:ascii="Times New Roman" w:eastAsia="Times New Roman" w:hAnsi="Times New Roman" w:cs="Times New Roman"/>
          <w:sz w:val="24"/>
          <w:szCs w:val="24"/>
          <w:lang w:eastAsia="en-GB"/>
        </w:rPr>
      </w:pPr>
      <w:r w:rsidRPr="00FF1AB4">
        <w:rPr>
          <w:rFonts w:ascii="Times New Roman" w:hAnsi="Times New Roman" w:cs="Times New Roman"/>
        </w:rPr>
        <w:t>SecBam's cyber security incident can prompt different responses. Using outside incident response services could speed up containment and recovery. Yet, this may cost much and rely on outsiders, affecting budgets and freedom.</w:t>
      </w:r>
      <w:r w:rsidR="00EB2D80" w:rsidRPr="00FF1AB4">
        <w:rPr>
          <w:rFonts w:ascii="Times New Roman" w:hAnsi="Times New Roman" w:cs="Times New Roman"/>
        </w:rPr>
        <w:t xml:space="preserve"> </w:t>
      </w:r>
      <w:r w:rsidR="00EB2D80" w:rsidRPr="00FF1AB4">
        <w:rPr>
          <w:rFonts w:ascii="Times New Roman" w:eastAsia="Times New Roman" w:hAnsi="Times New Roman" w:cs="Times New Roman"/>
          <w:sz w:val="24"/>
          <w:szCs w:val="24"/>
          <w:lang w:eastAsia="en-GB"/>
        </w:rPr>
        <w:t>(NCSC, 2024)</w:t>
      </w:r>
    </w:p>
    <w:p w14:paraId="1DB78340" w14:textId="2960C310" w:rsidR="007A492F" w:rsidRPr="00FF1AB4" w:rsidRDefault="007A492F" w:rsidP="007A492F">
      <w:pPr>
        <w:rPr>
          <w:rFonts w:ascii="Times New Roman" w:eastAsia="Times New Roman" w:hAnsi="Times New Roman" w:cs="Times New Roman"/>
          <w:sz w:val="24"/>
          <w:szCs w:val="24"/>
          <w:lang w:eastAsia="en-GB"/>
        </w:rPr>
      </w:pPr>
      <w:r w:rsidRPr="00FF1AB4">
        <w:rPr>
          <w:rFonts w:ascii="Times New Roman" w:hAnsi="Times New Roman" w:cs="Times New Roman"/>
        </w:rPr>
        <w:t>Having Endpoint Detection and Response (EDR) tools could improve real-time threat detection. But it needs heavy investment in tech and staff training, adding to resource needs.</w:t>
      </w:r>
      <w:r w:rsidR="00EB2D80" w:rsidRPr="00FF1AB4">
        <w:rPr>
          <w:rFonts w:ascii="Times New Roman" w:hAnsi="Times New Roman" w:cs="Times New Roman"/>
        </w:rPr>
        <w:t xml:space="preserve"> </w:t>
      </w:r>
      <w:r w:rsidR="00EB2D80" w:rsidRPr="00FF1AB4">
        <w:rPr>
          <w:rFonts w:ascii="Times New Roman" w:eastAsia="Times New Roman" w:hAnsi="Times New Roman" w:cs="Times New Roman"/>
          <w:sz w:val="24"/>
          <w:szCs w:val="24"/>
          <w:lang w:eastAsia="en-GB"/>
        </w:rPr>
        <w:t>(Acronis, 2024)</w:t>
      </w:r>
    </w:p>
    <w:p w14:paraId="51AB0FFB" w14:textId="21360E12" w:rsidR="007A492F" w:rsidRPr="00FF1AB4" w:rsidRDefault="007A492F" w:rsidP="007A492F">
      <w:pPr>
        <w:rPr>
          <w:rFonts w:ascii="Times New Roman" w:eastAsia="Times New Roman" w:hAnsi="Times New Roman" w:cs="Times New Roman"/>
          <w:sz w:val="24"/>
          <w:szCs w:val="24"/>
          <w:lang w:eastAsia="en-GB"/>
        </w:rPr>
      </w:pPr>
      <w:r w:rsidRPr="00FF1AB4">
        <w:rPr>
          <w:rFonts w:ascii="Times New Roman" w:hAnsi="Times New Roman" w:cs="Times New Roman"/>
        </w:rPr>
        <w:t>Running tabletop exercises with varied teams could simulate incidents, test response plans, and boost coordination. However, it demands time, planning, and active involvement from key staff.</w:t>
      </w:r>
      <w:r w:rsidR="00EB2D80" w:rsidRPr="00FF1AB4">
        <w:rPr>
          <w:rFonts w:ascii="Times New Roman" w:hAnsi="Times New Roman" w:cs="Times New Roman"/>
        </w:rPr>
        <w:t xml:space="preserve"> </w:t>
      </w:r>
      <w:r w:rsidR="00EB2D80" w:rsidRPr="00FF1AB4">
        <w:rPr>
          <w:rFonts w:ascii="Times New Roman" w:eastAsia="Times New Roman" w:hAnsi="Times New Roman" w:cs="Times New Roman"/>
          <w:sz w:val="24"/>
          <w:szCs w:val="24"/>
          <w:lang w:eastAsia="en-GB"/>
        </w:rPr>
        <w:t>(Neumann, 2024)</w:t>
      </w:r>
    </w:p>
    <w:p w14:paraId="0901E49C" w14:textId="2A90E454" w:rsidR="007A492F" w:rsidRPr="00FF1AB4" w:rsidRDefault="007A492F" w:rsidP="007A492F">
      <w:pPr>
        <w:rPr>
          <w:rFonts w:ascii="Times New Roman" w:hAnsi="Times New Roman" w:cs="Times New Roman"/>
        </w:rPr>
      </w:pPr>
      <w:r w:rsidRPr="00FF1AB4">
        <w:rPr>
          <w:rFonts w:ascii="Times New Roman" w:hAnsi="Times New Roman" w:cs="Times New Roman"/>
        </w:rPr>
        <w:t>These choices weigh benefits against drawbacks, stressing the need to weigh organizational priorities, resources, and risk tolerance carefully.</w:t>
      </w:r>
    </w:p>
    <w:p w14:paraId="3C66A588" w14:textId="6659C18A" w:rsidR="005D0665" w:rsidRPr="00FF1AB4" w:rsidRDefault="005D0665" w:rsidP="005D0665">
      <w:pPr>
        <w:pStyle w:val="Heading1"/>
        <w:rPr>
          <w:rFonts w:ascii="Times New Roman" w:hAnsi="Times New Roman" w:cs="Times New Roman"/>
        </w:rPr>
      </w:pPr>
      <w:bookmarkStart w:id="9" w:name="_Toc166075770"/>
      <w:r w:rsidRPr="00FF1AB4">
        <w:rPr>
          <w:rFonts w:ascii="Times New Roman" w:hAnsi="Times New Roman" w:cs="Times New Roman"/>
        </w:rPr>
        <w:t>Highlights of communication:</w:t>
      </w:r>
      <w:bookmarkEnd w:id="9"/>
    </w:p>
    <w:p w14:paraId="517DD31C" w14:textId="1213FF32" w:rsidR="00234D2E" w:rsidRPr="00FF1AB4" w:rsidRDefault="00234D2E" w:rsidP="00234D2E">
      <w:pPr>
        <w:rPr>
          <w:rFonts w:ascii="Times New Roman" w:eastAsia="Times New Roman" w:hAnsi="Times New Roman" w:cs="Times New Roman"/>
          <w:sz w:val="24"/>
          <w:szCs w:val="24"/>
          <w:lang w:eastAsia="en-GB"/>
        </w:rPr>
      </w:pPr>
      <w:r w:rsidRPr="00FF1AB4">
        <w:rPr>
          <w:rFonts w:ascii="Times New Roman" w:hAnsi="Times New Roman" w:cs="Times New Roman"/>
        </w:rPr>
        <w:t>In the aftermath of the cyber security breach at SecBam, we adopted alternative means of communication with people. Internally, the team addressing the issue collaborated with senior executives, IT professionals, and legal consultants. They evaluated the situation, devised plans for resolution, and took decisive actions. They ensured regular updates to the staff to maintain clarity and alignment.</w:t>
      </w:r>
      <w:r w:rsidR="00064B84" w:rsidRPr="00FF1AB4">
        <w:rPr>
          <w:rFonts w:ascii="Times New Roman" w:hAnsi="Times New Roman" w:cs="Times New Roman"/>
        </w:rPr>
        <w:t xml:space="preserve"> </w:t>
      </w:r>
      <w:r w:rsidR="00064B84" w:rsidRPr="00FF1AB4">
        <w:rPr>
          <w:rFonts w:ascii="Times New Roman" w:eastAsia="Times New Roman" w:hAnsi="Times New Roman" w:cs="Times New Roman"/>
          <w:sz w:val="24"/>
          <w:szCs w:val="24"/>
          <w:lang w:eastAsia="en-GB"/>
        </w:rPr>
        <w:t>(NCSC, 2024b)</w:t>
      </w:r>
    </w:p>
    <w:p w14:paraId="46F41C1D" w14:textId="32432571" w:rsidR="00234D2E" w:rsidRPr="00FF1AB4" w:rsidRDefault="00234D2E" w:rsidP="00234D2E">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Outside the company, we talked with the police to tell them about the problem and find out what we had to do by law. We also worked with them to find out more about who caused the problem and help if there were legal actions. We also talked to clients and partners to tell them what was going on, fix things, and stop harm to our </w:t>
      </w:r>
      <w:r w:rsidR="00064B84" w:rsidRPr="00FF1AB4">
        <w:rPr>
          <w:rFonts w:ascii="Times New Roman" w:hAnsi="Times New Roman" w:cs="Times New Roman"/>
        </w:rPr>
        <w:t>reputation</w:t>
      </w:r>
      <w:r w:rsidRPr="00FF1AB4">
        <w:rPr>
          <w:rFonts w:ascii="Times New Roman" w:hAnsi="Times New Roman" w:cs="Times New Roman"/>
        </w:rPr>
        <w:t>.</w:t>
      </w:r>
      <w:r w:rsidR="00064B84" w:rsidRPr="00FF1AB4">
        <w:rPr>
          <w:rFonts w:ascii="Times New Roman" w:hAnsi="Times New Roman" w:cs="Times New Roman"/>
        </w:rPr>
        <w:t xml:space="preserve"> </w:t>
      </w:r>
      <w:r w:rsidR="00064B84" w:rsidRPr="00FF1AB4">
        <w:rPr>
          <w:rFonts w:ascii="Times New Roman" w:eastAsia="Times New Roman" w:hAnsi="Times New Roman" w:cs="Times New Roman"/>
          <w:sz w:val="24"/>
          <w:szCs w:val="24"/>
          <w:lang w:eastAsia="en-GB"/>
        </w:rPr>
        <w:t>(Federal Trade Commission, 2021)</w:t>
      </w:r>
    </w:p>
    <w:p w14:paraId="500DFB31" w14:textId="19EAD139" w:rsidR="00234D2E" w:rsidRPr="00FF1AB4" w:rsidRDefault="00234D2E" w:rsidP="00234D2E">
      <w:pPr>
        <w:rPr>
          <w:rFonts w:ascii="Times New Roman" w:hAnsi="Times New Roman" w:cs="Times New Roman"/>
        </w:rPr>
      </w:pPr>
      <w:r w:rsidRPr="00FF1AB4">
        <w:rPr>
          <w:rFonts w:ascii="Times New Roman" w:hAnsi="Times New Roman" w:cs="Times New Roman"/>
        </w:rPr>
        <w:t xml:space="preserve">We also put out news and talked to the public to tell them what was going on. This was to show we were accountable, did things fast, and kept our </w:t>
      </w:r>
      <w:r w:rsidR="00064B84" w:rsidRPr="00FF1AB4">
        <w:rPr>
          <w:rFonts w:ascii="Times New Roman" w:hAnsi="Times New Roman" w:cs="Times New Roman"/>
        </w:rPr>
        <w:t>reputation</w:t>
      </w:r>
      <w:r w:rsidRPr="00FF1AB4">
        <w:rPr>
          <w:rFonts w:ascii="Times New Roman" w:hAnsi="Times New Roman" w:cs="Times New Roman"/>
        </w:rPr>
        <w:t xml:space="preserve"> in a tough time. The people who did the talking were top managers, legal helpers, PR pros, and spokespeople, and they made sure what they said was the same on all channels.</w:t>
      </w:r>
    </w:p>
    <w:p w14:paraId="751CCC3A" w14:textId="11BBA1B4" w:rsidR="00234D2E" w:rsidRPr="00FF1AB4" w:rsidRDefault="00234D2E" w:rsidP="00234D2E">
      <w:pPr>
        <w:rPr>
          <w:rFonts w:ascii="Times New Roman" w:hAnsi="Times New Roman" w:cs="Times New Roman"/>
        </w:rPr>
      </w:pPr>
      <w:r w:rsidRPr="00FF1AB4">
        <w:rPr>
          <w:rFonts w:ascii="Times New Roman" w:hAnsi="Times New Roman" w:cs="Times New Roman"/>
        </w:rPr>
        <w:t xml:space="preserve">In all, talking well was key to dealing with the issue, working with others, and keeping SecBam's good </w:t>
      </w:r>
      <w:r w:rsidR="00064B84" w:rsidRPr="00FF1AB4">
        <w:rPr>
          <w:rFonts w:ascii="Times New Roman" w:hAnsi="Times New Roman" w:cs="Times New Roman"/>
        </w:rPr>
        <w:t>reputation</w:t>
      </w:r>
      <w:r w:rsidRPr="00FF1AB4">
        <w:rPr>
          <w:rFonts w:ascii="Times New Roman" w:hAnsi="Times New Roman" w:cs="Times New Roman"/>
        </w:rPr>
        <w:t xml:space="preserve"> and trust safe.</w:t>
      </w:r>
    </w:p>
    <w:p w14:paraId="39F32966" w14:textId="633B36FE" w:rsidR="005D0665" w:rsidRPr="00FF1AB4" w:rsidRDefault="005D0665" w:rsidP="005D0665">
      <w:pPr>
        <w:pStyle w:val="Heading1"/>
        <w:rPr>
          <w:rFonts w:ascii="Times New Roman" w:hAnsi="Times New Roman" w:cs="Times New Roman"/>
        </w:rPr>
      </w:pPr>
      <w:bookmarkStart w:id="10" w:name="_Toc166075771"/>
      <w:r w:rsidRPr="00FF1AB4">
        <w:rPr>
          <w:rFonts w:ascii="Times New Roman" w:hAnsi="Times New Roman" w:cs="Times New Roman"/>
        </w:rPr>
        <w:t>Overview of Incident Response Plan:</w:t>
      </w:r>
      <w:bookmarkEnd w:id="10"/>
    </w:p>
    <w:p w14:paraId="04BF9BAF" w14:textId="77777777" w:rsidR="00110357" w:rsidRPr="00FF1AB4" w:rsidRDefault="00A644DD" w:rsidP="00110357">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At SecBam, the team had a well-structured Incident Response Plan (IRP) in place to handle cyber incidents, which proved to be effective in managing the crisis. The IRP assigned specific roles and tasks to each team member, enabling them to make swift and informed decisions. It also outlined a detailed step-by-step process for addressing the incident from start to finish, allowing the team to manage the crisis in an organized and efficient manner. </w:t>
      </w:r>
      <w:r w:rsidR="00110357" w:rsidRPr="00FF1AB4">
        <w:rPr>
          <w:rFonts w:ascii="Times New Roman" w:eastAsia="Times New Roman" w:hAnsi="Times New Roman" w:cs="Times New Roman"/>
          <w:sz w:val="24"/>
          <w:szCs w:val="24"/>
          <w:lang w:eastAsia="en-GB"/>
        </w:rPr>
        <w:t>(Kirvan, 2024)</w:t>
      </w:r>
    </w:p>
    <w:p w14:paraId="14EDCC31" w14:textId="45C44CFC" w:rsidR="00A644DD" w:rsidRPr="00FF1AB4" w:rsidRDefault="00A644DD" w:rsidP="00A644DD">
      <w:pPr>
        <w:rPr>
          <w:rFonts w:ascii="Times New Roman" w:hAnsi="Times New Roman" w:cs="Times New Roman"/>
        </w:rPr>
      </w:pPr>
      <w:r w:rsidRPr="00FF1AB4">
        <w:rPr>
          <w:rFonts w:ascii="Times New Roman" w:hAnsi="Times New Roman" w:cs="Times New Roman"/>
        </w:rPr>
        <w:t>The crisis is in an organized and efficient manner. The plan established effective collaboration among the team, clients, lawyers, and police with regular communication and contingency plans. The plan outlines areas for improvement including more efficient threat detection and learning from mistakes to strengthen plans.</w:t>
      </w:r>
    </w:p>
    <w:p w14:paraId="66A3A50E" w14:textId="4D1FBD0D" w:rsidR="005868DE" w:rsidRPr="00FF1AB4" w:rsidRDefault="00110357" w:rsidP="00A644DD">
      <w:pPr>
        <w:rPr>
          <w:rFonts w:ascii="Times New Roman" w:eastAsia="Times New Roman" w:hAnsi="Times New Roman" w:cs="Times New Roman"/>
          <w:sz w:val="24"/>
          <w:szCs w:val="24"/>
          <w:lang w:eastAsia="en-GB"/>
        </w:rPr>
      </w:pPr>
      <w:r w:rsidRPr="00FF1AB4">
        <w:rPr>
          <w:rFonts w:ascii="Times New Roman" w:hAnsi="Times New Roman" w:cs="Times New Roman"/>
        </w:rPr>
        <w:lastRenderedPageBreak/>
        <w:t xml:space="preserve">Using a Disaster recovery (DR) plan helps with incident handling and can improve effectiveness and efficiency in handling more complex and costly business continuity. </w:t>
      </w:r>
      <w:r w:rsidRPr="00FF1AB4">
        <w:rPr>
          <w:rFonts w:ascii="Times New Roman" w:eastAsia="Times New Roman" w:hAnsi="Times New Roman" w:cs="Times New Roman"/>
          <w:sz w:val="24"/>
          <w:szCs w:val="24"/>
          <w:lang w:eastAsia="en-GB"/>
        </w:rPr>
        <w:t xml:space="preserve">(Kirvan, 2024) The earlier </w:t>
      </w:r>
      <w:r w:rsidR="005868DE" w:rsidRPr="00FF1AB4">
        <w:rPr>
          <w:rFonts w:ascii="Times New Roman" w:eastAsia="Times New Roman" w:hAnsi="Times New Roman" w:cs="Times New Roman"/>
          <w:sz w:val="24"/>
          <w:szCs w:val="24"/>
          <w:lang w:eastAsia="en-GB"/>
        </w:rPr>
        <w:t>our IRP team can</w:t>
      </w:r>
      <w:r w:rsidRPr="00FF1AB4">
        <w:rPr>
          <w:rFonts w:ascii="Times New Roman" w:eastAsia="Times New Roman" w:hAnsi="Times New Roman" w:cs="Times New Roman"/>
          <w:sz w:val="24"/>
          <w:szCs w:val="24"/>
          <w:lang w:eastAsia="en-GB"/>
        </w:rPr>
        <w:t xml:space="preserve"> use threat mitigation the </w:t>
      </w:r>
      <w:r w:rsidR="005868DE" w:rsidRPr="00FF1AB4">
        <w:rPr>
          <w:rFonts w:ascii="Times New Roman" w:eastAsia="Times New Roman" w:hAnsi="Times New Roman" w:cs="Times New Roman"/>
          <w:sz w:val="24"/>
          <w:szCs w:val="24"/>
          <w:lang w:eastAsia="en-GB"/>
        </w:rPr>
        <w:t>fewer</w:t>
      </w:r>
      <w:r w:rsidRPr="00FF1AB4">
        <w:rPr>
          <w:rFonts w:ascii="Times New Roman" w:eastAsia="Times New Roman" w:hAnsi="Times New Roman" w:cs="Times New Roman"/>
          <w:sz w:val="24"/>
          <w:szCs w:val="24"/>
          <w:lang w:eastAsia="en-GB"/>
        </w:rPr>
        <w:t xml:space="preserve"> potential effects</w:t>
      </w:r>
      <w:r w:rsidR="005868DE" w:rsidRPr="00FF1AB4">
        <w:rPr>
          <w:rFonts w:ascii="Times New Roman" w:eastAsia="Times New Roman" w:hAnsi="Times New Roman" w:cs="Times New Roman"/>
          <w:sz w:val="24"/>
          <w:szCs w:val="24"/>
          <w:lang w:eastAsia="en-GB"/>
        </w:rPr>
        <w:t xml:space="preserve"> of unplanned events. IRPs help speed up forensic analysis, making the longevity of a security breach more short-lived and shortening the recovery time to get everything back up and running before the incident. (Kirvan, 2024)</w:t>
      </w:r>
    </w:p>
    <w:p w14:paraId="0EC2DB2D" w14:textId="2CF5595D" w:rsidR="005D0665" w:rsidRPr="00FF1AB4" w:rsidRDefault="005D0665" w:rsidP="005D0665">
      <w:pPr>
        <w:pStyle w:val="Heading1"/>
        <w:rPr>
          <w:rFonts w:ascii="Times New Roman" w:hAnsi="Times New Roman" w:cs="Times New Roman"/>
        </w:rPr>
      </w:pPr>
      <w:bookmarkStart w:id="11" w:name="_Toc166075772"/>
      <w:r w:rsidRPr="00FF1AB4">
        <w:rPr>
          <w:rFonts w:ascii="Times New Roman" w:hAnsi="Times New Roman" w:cs="Times New Roman"/>
        </w:rPr>
        <w:t>Lessons Learned:</w:t>
      </w:r>
      <w:bookmarkEnd w:id="11"/>
    </w:p>
    <w:p w14:paraId="0DEA4EB3" w14:textId="5D591696" w:rsidR="00E266CC" w:rsidRPr="00FF1AB4" w:rsidRDefault="00E266CC" w:rsidP="00E266CC">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Considering the recent cyber security incident experienced by SecBam, there are important lessons we can get from it that will enhance our organization’s security posturing and its ability to respond to incidents effectively. Firstly, the occurrence indicated the importance of a universal security approach beyond typical border safeguards. Despite having strong inbuilt firewalls, and IDS/IPS systems as technical controls; however, this breach revealed the necessity for continuous monitoring and advanced threat detection mechanisms capable of quickly recognizing evolving threats. </w:t>
      </w:r>
      <w:r w:rsidRPr="00FF1AB4">
        <w:rPr>
          <w:rFonts w:ascii="Times New Roman" w:eastAsia="Times New Roman" w:hAnsi="Times New Roman" w:cs="Times New Roman"/>
          <w:sz w:val="24"/>
          <w:szCs w:val="24"/>
          <w:lang w:eastAsia="en-GB"/>
        </w:rPr>
        <w:t>(NCSC, 2024a)</w:t>
      </w:r>
    </w:p>
    <w:p w14:paraId="29BC62CA" w14:textId="7D460E02" w:rsidR="00E266CC" w:rsidRPr="00FF1AB4" w:rsidRDefault="00E266CC" w:rsidP="00E266CC">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Secondly, the event demonstrated that employee awareness and training have a significant role in reducing cyber risks. Our strict policies against personal emailing at work and non-work-related web use were still bypassed by social engineering tactics. This is quite clear that continual investment in cybersecurity education/awareness programs enables our staff to identify unusual activities thereby strengthening the overall protection strategy. </w:t>
      </w:r>
      <w:r w:rsidRPr="00FF1AB4">
        <w:rPr>
          <w:rFonts w:ascii="Times New Roman" w:eastAsia="Times New Roman" w:hAnsi="Times New Roman" w:cs="Times New Roman"/>
          <w:sz w:val="24"/>
          <w:szCs w:val="24"/>
          <w:lang w:eastAsia="en-GB"/>
        </w:rPr>
        <w:t>(NCSC, 2024a)</w:t>
      </w:r>
    </w:p>
    <w:p w14:paraId="6A033477" w14:textId="28F548F8" w:rsidR="00E266CC" w:rsidRPr="00FF1AB4" w:rsidRDefault="00E266CC" w:rsidP="00E266CC">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Additionally, this occurrence highlighted the importance of proactive incident response planning and preparedness. Although our incident response plan enabled a coordinated and efficient reaction to the event, there are areas for improvement like enhancing our ability to detect incidents or conducting a thorough post-incident analysis. Continually refining and updating our incident response plan based on actual incident experiences allows us to effectively respond to new threats and reduce future impact. </w:t>
      </w:r>
      <w:r w:rsidRPr="00FF1AB4">
        <w:rPr>
          <w:rFonts w:ascii="Times New Roman" w:eastAsia="Times New Roman" w:hAnsi="Times New Roman" w:cs="Times New Roman"/>
          <w:sz w:val="24"/>
          <w:szCs w:val="24"/>
          <w:lang w:eastAsia="en-GB"/>
        </w:rPr>
        <w:t>(NCSC, 2024a)</w:t>
      </w:r>
    </w:p>
    <w:p w14:paraId="779C7FD3" w14:textId="63190AF8" w:rsidR="00E266CC" w:rsidRPr="00FF1AB4" w:rsidRDefault="00E266CC" w:rsidP="00E266CC">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In general, this event has been a major learning experience that highlights the need for a comprehensive strategy towards cyber security that includes technical controls, employee awareness, and active incident responses. Inculcating these teachings into our security practices helps strengthen our cyber resilience while safeguarding customers’ sensitive data better. </w:t>
      </w:r>
      <w:r w:rsidRPr="00FF1AB4">
        <w:rPr>
          <w:rFonts w:ascii="Times New Roman" w:eastAsia="Times New Roman" w:hAnsi="Times New Roman" w:cs="Times New Roman"/>
          <w:sz w:val="24"/>
          <w:szCs w:val="24"/>
          <w:lang w:eastAsia="en-GB"/>
        </w:rPr>
        <w:t>(NCSC, 2024a)</w:t>
      </w:r>
    </w:p>
    <w:p w14:paraId="6EEA13E0" w14:textId="3A716A1D" w:rsidR="005D0665" w:rsidRPr="00FF1AB4" w:rsidRDefault="005D0665" w:rsidP="005D0665">
      <w:pPr>
        <w:pStyle w:val="Heading1"/>
        <w:rPr>
          <w:rFonts w:ascii="Times New Roman" w:hAnsi="Times New Roman" w:cs="Times New Roman"/>
        </w:rPr>
      </w:pPr>
      <w:bookmarkStart w:id="12" w:name="_Toc166075773"/>
      <w:r w:rsidRPr="00FF1AB4">
        <w:rPr>
          <w:rFonts w:ascii="Times New Roman" w:hAnsi="Times New Roman" w:cs="Times New Roman"/>
        </w:rPr>
        <w:t>Recommendations:</w:t>
      </w:r>
      <w:bookmarkEnd w:id="12"/>
    </w:p>
    <w:p w14:paraId="4807D490" w14:textId="26AA8E71" w:rsidR="00335507" w:rsidRPr="00FF1AB4" w:rsidRDefault="00335507" w:rsidP="00335507">
      <w:pPr>
        <w:rPr>
          <w:rFonts w:ascii="Times New Roman" w:hAnsi="Times New Roman" w:cs="Times New Roman"/>
        </w:rPr>
      </w:pPr>
      <w:r w:rsidRPr="00FF1AB4">
        <w:rPr>
          <w:rFonts w:ascii="Times New Roman" w:hAnsi="Times New Roman" w:cs="Times New Roman"/>
        </w:rPr>
        <w:t>As part of response to the recent cyber incident at SecBam, we offer several key recommendations as follows:</w:t>
      </w:r>
    </w:p>
    <w:p w14:paraId="69DC2DA9" w14:textId="77777777" w:rsidR="00CB177C" w:rsidRPr="00FF1AB4" w:rsidRDefault="00335507" w:rsidP="00CB177C">
      <w:pPr>
        <w:pStyle w:val="ListParagraph"/>
        <w:numPr>
          <w:ilvl w:val="0"/>
          <w:numId w:val="4"/>
        </w:numPr>
        <w:rPr>
          <w:rFonts w:ascii="Times New Roman" w:hAnsi="Times New Roman" w:cs="Times New Roman"/>
        </w:rPr>
      </w:pPr>
      <w:r w:rsidRPr="00FF1AB4">
        <w:rPr>
          <w:rFonts w:ascii="Times New Roman" w:hAnsi="Times New Roman" w:cs="Times New Roman"/>
        </w:rPr>
        <w:t>Strengthen Security:</w:t>
      </w:r>
    </w:p>
    <w:p w14:paraId="463D6532" w14:textId="77777777" w:rsidR="00CB177C" w:rsidRPr="00FF1AB4" w:rsidRDefault="00335507" w:rsidP="00CB177C">
      <w:pPr>
        <w:pStyle w:val="ListParagraph"/>
        <w:numPr>
          <w:ilvl w:val="1"/>
          <w:numId w:val="4"/>
        </w:numPr>
        <w:rPr>
          <w:rFonts w:ascii="Times New Roman" w:hAnsi="Times New Roman" w:cs="Times New Roman"/>
        </w:rPr>
      </w:pPr>
      <w:r w:rsidRPr="00FF1AB4">
        <w:rPr>
          <w:rFonts w:ascii="Times New Roman" w:hAnsi="Times New Roman" w:cs="Times New Roman"/>
        </w:rPr>
        <w:t>Roll out Advanced Threat Detection.</w:t>
      </w:r>
      <w:r w:rsidR="00CB177C" w:rsidRPr="00FF1AB4">
        <w:rPr>
          <w:rFonts w:ascii="Times New Roman" w:hAnsi="Times New Roman" w:cs="Times New Roman"/>
        </w:rPr>
        <w:t xml:space="preserve"> </w:t>
      </w:r>
      <w:r w:rsidR="00CB177C" w:rsidRPr="00FF1AB4">
        <w:rPr>
          <w:rFonts w:ascii="Times New Roman" w:eastAsia="Times New Roman" w:hAnsi="Times New Roman" w:cs="Times New Roman"/>
          <w:sz w:val="24"/>
          <w:szCs w:val="24"/>
          <w:lang w:eastAsia="en-GB"/>
        </w:rPr>
        <w:t>(Ramsay, 2023)</w:t>
      </w:r>
    </w:p>
    <w:p w14:paraId="3CE213CB" w14:textId="77777777" w:rsidR="00977ADA" w:rsidRPr="00FF1AB4" w:rsidRDefault="00335507" w:rsidP="00977ADA">
      <w:pPr>
        <w:pStyle w:val="ListParagraph"/>
        <w:numPr>
          <w:ilvl w:val="1"/>
          <w:numId w:val="4"/>
        </w:numPr>
        <w:rPr>
          <w:rFonts w:ascii="Times New Roman" w:hAnsi="Times New Roman" w:cs="Times New Roman"/>
        </w:rPr>
      </w:pPr>
      <w:r w:rsidRPr="00FF1AB4">
        <w:rPr>
          <w:rFonts w:ascii="Times New Roman" w:hAnsi="Times New Roman" w:cs="Times New Roman"/>
        </w:rPr>
        <w:t xml:space="preserve">Boost </w:t>
      </w:r>
      <w:r w:rsidR="00CB177C" w:rsidRPr="00FF1AB4">
        <w:rPr>
          <w:rFonts w:ascii="Times New Roman" w:hAnsi="Times New Roman" w:cs="Times New Roman"/>
        </w:rPr>
        <w:t xml:space="preserve">Employee's Cyber </w:t>
      </w:r>
      <w:r w:rsidRPr="00FF1AB4">
        <w:rPr>
          <w:rFonts w:ascii="Times New Roman" w:hAnsi="Times New Roman" w:cs="Times New Roman"/>
        </w:rPr>
        <w:t>Education.</w:t>
      </w:r>
      <w:r w:rsidR="00CB177C" w:rsidRPr="00FF1AB4">
        <w:rPr>
          <w:rFonts w:ascii="Times New Roman" w:hAnsi="Times New Roman" w:cs="Times New Roman"/>
        </w:rPr>
        <w:t xml:space="preserve"> </w:t>
      </w:r>
      <w:r w:rsidR="00CB177C" w:rsidRPr="00FF1AB4">
        <w:rPr>
          <w:rFonts w:ascii="Times New Roman" w:eastAsia="Times New Roman" w:hAnsi="Times New Roman" w:cs="Times New Roman"/>
          <w:sz w:val="24"/>
          <w:szCs w:val="24"/>
          <w:lang w:eastAsia="en-GB"/>
        </w:rPr>
        <w:t>(NCSC, 2021a)</w:t>
      </w:r>
    </w:p>
    <w:p w14:paraId="7127574A" w14:textId="72D447DE" w:rsidR="00335507" w:rsidRPr="00FF1AB4" w:rsidRDefault="00335507" w:rsidP="00977ADA">
      <w:pPr>
        <w:pStyle w:val="ListParagraph"/>
        <w:numPr>
          <w:ilvl w:val="1"/>
          <w:numId w:val="4"/>
        </w:numPr>
        <w:rPr>
          <w:rFonts w:ascii="Times New Roman" w:hAnsi="Times New Roman" w:cs="Times New Roman"/>
        </w:rPr>
      </w:pPr>
      <w:r w:rsidRPr="00FF1AB4">
        <w:rPr>
          <w:rFonts w:ascii="Times New Roman" w:hAnsi="Times New Roman" w:cs="Times New Roman"/>
        </w:rPr>
        <w:t>Adopting Zero Trust Architecture.</w:t>
      </w:r>
      <w:r w:rsidR="00977ADA" w:rsidRPr="00FF1AB4">
        <w:rPr>
          <w:rFonts w:ascii="Times New Roman" w:hAnsi="Times New Roman" w:cs="Times New Roman"/>
        </w:rPr>
        <w:t xml:space="preserve"> </w:t>
      </w:r>
      <w:r w:rsidR="00977ADA" w:rsidRPr="00FF1AB4">
        <w:rPr>
          <w:rFonts w:ascii="Times New Roman" w:eastAsia="Times New Roman" w:hAnsi="Times New Roman" w:cs="Times New Roman"/>
          <w:sz w:val="24"/>
          <w:szCs w:val="24"/>
          <w:lang w:eastAsia="en-GB"/>
        </w:rPr>
        <w:t>(Hietala, 2022)</w:t>
      </w:r>
    </w:p>
    <w:p w14:paraId="51E00D2B" w14:textId="2976A989" w:rsidR="00335507" w:rsidRPr="00FF1AB4" w:rsidRDefault="00335507" w:rsidP="00335507">
      <w:pPr>
        <w:pStyle w:val="ListParagraph"/>
        <w:numPr>
          <w:ilvl w:val="1"/>
          <w:numId w:val="4"/>
        </w:numPr>
        <w:rPr>
          <w:rFonts w:ascii="Times New Roman" w:hAnsi="Times New Roman" w:cs="Times New Roman"/>
        </w:rPr>
      </w:pPr>
      <w:r w:rsidRPr="00FF1AB4">
        <w:rPr>
          <w:rFonts w:ascii="Times New Roman" w:hAnsi="Times New Roman" w:cs="Times New Roman"/>
        </w:rPr>
        <w:t>Apply End-point Protection Measures.</w:t>
      </w:r>
      <w:r w:rsidR="00977ADA" w:rsidRPr="00FF1AB4">
        <w:rPr>
          <w:rFonts w:ascii="Times New Roman" w:hAnsi="Times New Roman" w:cs="Times New Roman"/>
        </w:rPr>
        <w:t xml:space="preserve"> </w:t>
      </w:r>
      <w:r w:rsidR="00977ADA" w:rsidRPr="00FF1AB4">
        <w:rPr>
          <w:rFonts w:ascii="Times New Roman" w:eastAsia="Times New Roman" w:hAnsi="Times New Roman" w:cs="Times New Roman"/>
          <w:sz w:val="24"/>
          <w:szCs w:val="24"/>
          <w:lang w:eastAsia="en-GB"/>
        </w:rPr>
        <w:t>(Ramsay, 2023)</w:t>
      </w:r>
    </w:p>
    <w:p w14:paraId="37B12768" w14:textId="186347D5" w:rsidR="00335507" w:rsidRPr="00FF1AB4" w:rsidRDefault="00335507" w:rsidP="00335507">
      <w:pPr>
        <w:pStyle w:val="ListParagraph"/>
        <w:numPr>
          <w:ilvl w:val="0"/>
          <w:numId w:val="4"/>
        </w:numPr>
        <w:rPr>
          <w:rFonts w:ascii="Times New Roman" w:hAnsi="Times New Roman" w:cs="Times New Roman"/>
        </w:rPr>
      </w:pPr>
      <w:r w:rsidRPr="00FF1AB4">
        <w:rPr>
          <w:rFonts w:ascii="Times New Roman" w:hAnsi="Times New Roman" w:cs="Times New Roman"/>
        </w:rPr>
        <w:t>Rebuild Trust:</w:t>
      </w:r>
    </w:p>
    <w:p w14:paraId="46F2D8AC" w14:textId="5CC1A50D" w:rsidR="00335507" w:rsidRPr="00FF1AB4" w:rsidRDefault="00335507" w:rsidP="00335507">
      <w:pPr>
        <w:pStyle w:val="ListParagraph"/>
        <w:numPr>
          <w:ilvl w:val="1"/>
          <w:numId w:val="4"/>
        </w:numPr>
        <w:rPr>
          <w:rFonts w:ascii="Times New Roman" w:hAnsi="Times New Roman" w:cs="Times New Roman"/>
        </w:rPr>
      </w:pPr>
      <w:r w:rsidRPr="00FF1AB4">
        <w:rPr>
          <w:rFonts w:ascii="Times New Roman" w:hAnsi="Times New Roman" w:cs="Times New Roman"/>
        </w:rPr>
        <w:t>Keep Open Channels of Communication.</w:t>
      </w:r>
      <w:r w:rsidR="00977ADA" w:rsidRPr="00FF1AB4">
        <w:rPr>
          <w:rFonts w:ascii="Times New Roman" w:hAnsi="Times New Roman" w:cs="Times New Roman"/>
        </w:rPr>
        <w:t xml:space="preserve"> </w:t>
      </w:r>
      <w:r w:rsidR="00977ADA" w:rsidRPr="00FF1AB4">
        <w:rPr>
          <w:rFonts w:ascii="Times New Roman" w:eastAsia="Times New Roman" w:hAnsi="Times New Roman" w:cs="Times New Roman"/>
          <w:sz w:val="24"/>
          <w:szCs w:val="24"/>
          <w:lang w:eastAsia="en-GB"/>
        </w:rPr>
        <w:t>(NCSC, 2024a)</w:t>
      </w:r>
    </w:p>
    <w:p w14:paraId="57B1F498" w14:textId="094F7BD9" w:rsidR="00335507" w:rsidRPr="00FF1AB4" w:rsidRDefault="00335507" w:rsidP="00335507">
      <w:pPr>
        <w:pStyle w:val="ListParagraph"/>
        <w:numPr>
          <w:ilvl w:val="1"/>
          <w:numId w:val="4"/>
        </w:numPr>
        <w:rPr>
          <w:rFonts w:ascii="Times New Roman" w:hAnsi="Times New Roman" w:cs="Times New Roman"/>
        </w:rPr>
      </w:pPr>
      <w:r w:rsidRPr="00FF1AB4">
        <w:rPr>
          <w:rFonts w:ascii="Times New Roman" w:hAnsi="Times New Roman" w:cs="Times New Roman"/>
        </w:rPr>
        <w:t>Showcase a Firm Dedication to Security.</w:t>
      </w:r>
      <w:r w:rsidR="00977ADA" w:rsidRPr="00FF1AB4">
        <w:rPr>
          <w:rFonts w:ascii="Times New Roman" w:hAnsi="Times New Roman" w:cs="Times New Roman"/>
        </w:rPr>
        <w:t xml:space="preserve"> </w:t>
      </w:r>
      <w:r w:rsidR="00977ADA" w:rsidRPr="00FF1AB4">
        <w:rPr>
          <w:rFonts w:ascii="Times New Roman" w:eastAsia="Times New Roman" w:hAnsi="Times New Roman" w:cs="Times New Roman"/>
          <w:sz w:val="24"/>
          <w:szCs w:val="24"/>
          <w:lang w:eastAsia="en-GB"/>
        </w:rPr>
        <w:t>(NCSC, 2024a)</w:t>
      </w:r>
    </w:p>
    <w:p w14:paraId="0A10931F" w14:textId="7390CD6B" w:rsidR="00335507" w:rsidRPr="00FF1AB4" w:rsidRDefault="00335507" w:rsidP="00335507">
      <w:pPr>
        <w:pStyle w:val="ListParagraph"/>
        <w:numPr>
          <w:ilvl w:val="1"/>
          <w:numId w:val="4"/>
        </w:numPr>
        <w:rPr>
          <w:rFonts w:ascii="Times New Roman" w:hAnsi="Times New Roman" w:cs="Times New Roman"/>
        </w:rPr>
      </w:pPr>
      <w:r w:rsidRPr="00FF1AB4">
        <w:rPr>
          <w:rFonts w:ascii="Times New Roman" w:hAnsi="Times New Roman" w:cs="Times New Roman"/>
        </w:rPr>
        <w:t>Engage and Support Clients.</w:t>
      </w:r>
      <w:r w:rsidR="00977ADA" w:rsidRPr="00FF1AB4">
        <w:rPr>
          <w:rFonts w:ascii="Times New Roman" w:hAnsi="Times New Roman" w:cs="Times New Roman"/>
        </w:rPr>
        <w:t xml:space="preserve"> </w:t>
      </w:r>
      <w:r w:rsidR="00977ADA" w:rsidRPr="00FF1AB4">
        <w:rPr>
          <w:rFonts w:ascii="Times New Roman" w:eastAsia="Times New Roman" w:hAnsi="Times New Roman" w:cs="Times New Roman"/>
          <w:sz w:val="24"/>
          <w:szCs w:val="24"/>
          <w:lang w:eastAsia="en-GB"/>
        </w:rPr>
        <w:t>(NCSC, 2024a)</w:t>
      </w:r>
    </w:p>
    <w:p w14:paraId="5875ECA8" w14:textId="77777777" w:rsidR="00977ADA" w:rsidRPr="00FF1AB4" w:rsidRDefault="00335507" w:rsidP="00977ADA">
      <w:pPr>
        <w:pStyle w:val="ListParagraph"/>
        <w:numPr>
          <w:ilvl w:val="0"/>
          <w:numId w:val="4"/>
        </w:numPr>
        <w:rPr>
          <w:rFonts w:ascii="Times New Roman" w:hAnsi="Times New Roman" w:cs="Times New Roman"/>
        </w:rPr>
      </w:pPr>
      <w:r w:rsidRPr="00FF1AB4">
        <w:rPr>
          <w:rFonts w:ascii="Times New Roman" w:hAnsi="Times New Roman" w:cs="Times New Roman"/>
        </w:rPr>
        <w:t>Improve Incident Response Plan:</w:t>
      </w:r>
    </w:p>
    <w:p w14:paraId="6BFBF9CB" w14:textId="77777777" w:rsidR="00F31FB2" w:rsidRPr="00FF1AB4" w:rsidRDefault="00335507" w:rsidP="00F31FB2">
      <w:pPr>
        <w:pStyle w:val="ListParagraph"/>
        <w:numPr>
          <w:ilvl w:val="1"/>
          <w:numId w:val="4"/>
        </w:numPr>
        <w:rPr>
          <w:rFonts w:ascii="Times New Roman" w:hAnsi="Times New Roman" w:cs="Times New Roman"/>
        </w:rPr>
      </w:pPr>
      <w:r w:rsidRPr="00FF1AB4">
        <w:rPr>
          <w:rFonts w:ascii="Times New Roman" w:hAnsi="Times New Roman" w:cs="Times New Roman"/>
        </w:rPr>
        <w:t>Conduct Thorough Post-Incident Analysis.</w:t>
      </w:r>
      <w:r w:rsidR="00977ADA" w:rsidRPr="00FF1AB4">
        <w:rPr>
          <w:rFonts w:ascii="Times New Roman" w:hAnsi="Times New Roman" w:cs="Times New Roman"/>
        </w:rPr>
        <w:t xml:space="preserve"> </w:t>
      </w:r>
      <w:r w:rsidR="00977ADA" w:rsidRPr="00FF1AB4">
        <w:rPr>
          <w:rFonts w:ascii="Times New Roman" w:eastAsia="Times New Roman" w:hAnsi="Times New Roman" w:cs="Times New Roman"/>
          <w:sz w:val="24"/>
          <w:szCs w:val="24"/>
          <w:lang w:eastAsia="en-GB"/>
        </w:rPr>
        <w:t>(Mukherjee, 2023)</w:t>
      </w:r>
    </w:p>
    <w:p w14:paraId="0B86B4C6" w14:textId="77777777" w:rsidR="00F31FB2" w:rsidRPr="00FF1AB4" w:rsidRDefault="00335507" w:rsidP="00F31FB2">
      <w:pPr>
        <w:pStyle w:val="ListParagraph"/>
        <w:numPr>
          <w:ilvl w:val="1"/>
          <w:numId w:val="4"/>
        </w:numPr>
        <w:rPr>
          <w:rFonts w:ascii="Times New Roman" w:hAnsi="Times New Roman" w:cs="Times New Roman"/>
        </w:rPr>
      </w:pPr>
      <w:r w:rsidRPr="00FF1AB4">
        <w:rPr>
          <w:rFonts w:ascii="Times New Roman" w:hAnsi="Times New Roman" w:cs="Times New Roman"/>
        </w:rPr>
        <w:t xml:space="preserve">Review and Update </w:t>
      </w:r>
      <w:r w:rsidR="00F31FB2" w:rsidRPr="00FF1AB4">
        <w:rPr>
          <w:rFonts w:ascii="Times New Roman" w:hAnsi="Times New Roman" w:cs="Times New Roman"/>
        </w:rPr>
        <w:t xml:space="preserve">the </w:t>
      </w:r>
      <w:r w:rsidR="00A6027C" w:rsidRPr="00FF1AB4">
        <w:rPr>
          <w:rFonts w:ascii="Times New Roman" w:hAnsi="Times New Roman" w:cs="Times New Roman"/>
        </w:rPr>
        <w:t xml:space="preserve">Incident </w:t>
      </w:r>
      <w:r w:rsidRPr="00FF1AB4">
        <w:rPr>
          <w:rFonts w:ascii="Times New Roman" w:hAnsi="Times New Roman" w:cs="Times New Roman"/>
        </w:rPr>
        <w:t>Response Plan Regularly</w:t>
      </w:r>
      <w:r w:rsidR="00F31FB2" w:rsidRPr="00FF1AB4">
        <w:rPr>
          <w:rFonts w:ascii="Times New Roman" w:hAnsi="Times New Roman" w:cs="Times New Roman"/>
        </w:rPr>
        <w:t xml:space="preserve"> </w:t>
      </w:r>
      <w:r w:rsidR="00F31FB2" w:rsidRPr="00FF1AB4">
        <w:rPr>
          <w:rFonts w:ascii="Times New Roman" w:eastAsia="Times New Roman" w:hAnsi="Times New Roman" w:cs="Times New Roman"/>
          <w:sz w:val="24"/>
          <w:szCs w:val="24"/>
          <w:lang w:eastAsia="en-GB"/>
        </w:rPr>
        <w:t>(Embroker Team, 2024)</w:t>
      </w:r>
    </w:p>
    <w:p w14:paraId="75C89DAF" w14:textId="77777777" w:rsidR="00084F8E" w:rsidRPr="00FF1AB4" w:rsidRDefault="00335507" w:rsidP="00084F8E">
      <w:pPr>
        <w:pStyle w:val="ListParagraph"/>
        <w:numPr>
          <w:ilvl w:val="1"/>
          <w:numId w:val="4"/>
        </w:numPr>
        <w:rPr>
          <w:rFonts w:ascii="Times New Roman" w:hAnsi="Times New Roman" w:cs="Times New Roman"/>
        </w:rPr>
      </w:pPr>
      <w:r w:rsidRPr="00FF1AB4">
        <w:rPr>
          <w:rFonts w:ascii="Times New Roman" w:hAnsi="Times New Roman" w:cs="Times New Roman"/>
        </w:rPr>
        <w:lastRenderedPageBreak/>
        <w:t>Establish Clear Communication Channels</w:t>
      </w:r>
      <w:r w:rsidR="00F31FB2" w:rsidRPr="00FF1AB4">
        <w:rPr>
          <w:rFonts w:ascii="Times New Roman" w:hAnsi="Times New Roman" w:cs="Times New Roman"/>
        </w:rPr>
        <w:t xml:space="preserve"> </w:t>
      </w:r>
      <w:r w:rsidR="00F31FB2" w:rsidRPr="00FF1AB4">
        <w:rPr>
          <w:rFonts w:ascii="Times New Roman" w:eastAsia="Times New Roman" w:hAnsi="Times New Roman" w:cs="Times New Roman"/>
          <w:sz w:val="24"/>
          <w:szCs w:val="24"/>
          <w:lang w:eastAsia="en-GB"/>
        </w:rPr>
        <w:t>(Hollenbeck, 2023</w:t>
      </w:r>
      <w:r w:rsidR="00084F8E" w:rsidRPr="00FF1AB4">
        <w:rPr>
          <w:rFonts w:ascii="Times New Roman" w:eastAsia="Times New Roman" w:hAnsi="Times New Roman" w:cs="Times New Roman"/>
          <w:sz w:val="24"/>
          <w:szCs w:val="24"/>
          <w:lang w:eastAsia="en-GB"/>
        </w:rPr>
        <w:t>)</w:t>
      </w:r>
    </w:p>
    <w:p w14:paraId="1B4CD453" w14:textId="4B1964F8" w:rsidR="00335507" w:rsidRPr="00FF1AB4" w:rsidRDefault="00335507" w:rsidP="00084F8E">
      <w:pPr>
        <w:pStyle w:val="ListParagraph"/>
        <w:numPr>
          <w:ilvl w:val="1"/>
          <w:numId w:val="4"/>
        </w:numPr>
        <w:rPr>
          <w:rFonts w:ascii="Times New Roman" w:hAnsi="Times New Roman" w:cs="Times New Roman"/>
        </w:rPr>
      </w:pPr>
      <w:r w:rsidRPr="00FF1AB4">
        <w:rPr>
          <w:rFonts w:ascii="Times New Roman" w:hAnsi="Times New Roman" w:cs="Times New Roman"/>
        </w:rPr>
        <w:t>Carry Out Tabletop Exercises</w:t>
      </w:r>
      <w:r w:rsidR="00084F8E" w:rsidRPr="00FF1AB4">
        <w:rPr>
          <w:rFonts w:ascii="Times New Roman" w:hAnsi="Times New Roman" w:cs="Times New Roman"/>
        </w:rPr>
        <w:t xml:space="preserve"> </w:t>
      </w:r>
      <w:r w:rsidR="00084F8E" w:rsidRPr="00FF1AB4">
        <w:rPr>
          <w:rFonts w:ascii="Times New Roman" w:eastAsia="Times New Roman" w:hAnsi="Times New Roman" w:cs="Times New Roman"/>
          <w:sz w:val="24"/>
          <w:szCs w:val="24"/>
          <w:lang w:eastAsia="en-GB"/>
        </w:rPr>
        <w:t>(Fruhlinger, 2021)</w:t>
      </w:r>
    </w:p>
    <w:p w14:paraId="0082E9C9" w14:textId="3C600183" w:rsidR="00335507" w:rsidRPr="00FF1AB4" w:rsidRDefault="00335507" w:rsidP="00335507">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These measures are aimed at fortifying our security posture, rebuilding trust with clients and investors, as well as improving our ability to handle incidents in the future. It is expected that by utilizing these suggestions, SecBam will be able to better anticipate such threats, give confidence to its stakeholders, and improve its resilience against cyber outbreaks. </w:t>
      </w:r>
      <w:r w:rsidRPr="00FF1AB4">
        <w:rPr>
          <w:rFonts w:ascii="Times New Roman" w:eastAsia="Times New Roman" w:hAnsi="Times New Roman" w:cs="Times New Roman"/>
          <w:sz w:val="24"/>
          <w:szCs w:val="24"/>
          <w:lang w:eastAsia="en-GB"/>
        </w:rPr>
        <w:t>(Hollenbeck, 2023)</w:t>
      </w:r>
    </w:p>
    <w:p w14:paraId="3E903E45" w14:textId="0B9FC516" w:rsidR="005D0665" w:rsidRPr="00FF1AB4" w:rsidRDefault="005D0665" w:rsidP="005D0665">
      <w:pPr>
        <w:pStyle w:val="Heading1"/>
        <w:rPr>
          <w:rFonts w:ascii="Times New Roman" w:hAnsi="Times New Roman" w:cs="Times New Roman"/>
        </w:rPr>
      </w:pPr>
      <w:bookmarkStart w:id="13" w:name="_Toc166075774"/>
      <w:r w:rsidRPr="00FF1AB4">
        <w:rPr>
          <w:rFonts w:ascii="Times New Roman" w:hAnsi="Times New Roman" w:cs="Times New Roman"/>
        </w:rPr>
        <w:t>Digital Forensic Evidence:</w:t>
      </w:r>
      <w:bookmarkEnd w:id="13"/>
    </w:p>
    <w:p w14:paraId="023C6F2E" w14:textId="0CB1B1AA" w:rsidR="00CC34E8" w:rsidRPr="00FF1AB4" w:rsidRDefault="00AB4AE5" w:rsidP="00CC34E8">
      <w:pPr>
        <w:rPr>
          <w:rFonts w:ascii="Times New Roman" w:hAnsi="Times New Roman" w:cs="Times New Roman"/>
        </w:rPr>
      </w:pPr>
      <w:r>
        <w:rPr>
          <w:rFonts w:ascii="Times New Roman" w:hAnsi="Times New Roman" w:cs="Times New Roman"/>
        </w:rPr>
        <w:t>D</w:t>
      </w:r>
      <w:r w:rsidR="00CC34E8" w:rsidRPr="00FF1AB4">
        <w:rPr>
          <w:rFonts w:ascii="Times New Roman" w:hAnsi="Times New Roman" w:cs="Times New Roman"/>
        </w:rPr>
        <w:t xml:space="preserve">igital forensic evidence was collected during incident response at SecBam. To do a thorough investigation, we employed various tools and techniques for gathering and </w:t>
      </w:r>
      <w:r w:rsidR="00EC72C7" w:rsidRPr="00FF1AB4">
        <w:rPr>
          <w:rFonts w:ascii="Times New Roman" w:hAnsi="Times New Roman" w:cs="Times New Roman"/>
        </w:rPr>
        <w:t>analysing</w:t>
      </w:r>
      <w:r w:rsidR="00CC34E8" w:rsidRPr="00FF1AB4">
        <w:rPr>
          <w:rFonts w:ascii="Times New Roman" w:hAnsi="Times New Roman" w:cs="Times New Roman"/>
        </w:rPr>
        <w:t xml:space="preserve"> data. In this regard the following procedures were followed:</w:t>
      </w:r>
    </w:p>
    <w:p w14:paraId="08E390BB" w14:textId="76F59639" w:rsidR="00CC34E8" w:rsidRPr="00FF1AB4" w:rsidRDefault="00CC34E8" w:rsidP="00CC34E8">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Evidence Collection: Our team used software like EnCase and Autopsy to gather digital evidence from infected machines. This entailed </w:t>
      </w:r>
      <w:r w:rsidR="00EC72C7" w:rsidRPr="00FF1AB4">
        <w:rPr>
          <w:rFonts w:ascii="Times New Roman" w:hAnsi="Times New Roman" w:cs="Times New Roman"/>
        </w:rPr>
        <w:t xml:space="preserve">the </w:t>
      </w:r>
      <w:r w:rsidRPr="00FF1AB4">
        <w:rPr>
          <w:rFonts w:ascii="Times New Roman" w:hAnsi="Times New Roman" w:cs="Times New Roman"/>
        </w:rPr>
        <w:t>acquisition of memory dumps, disk images</w:t>
      </w:r>
      <w:r w:rsidR="00EC72C7" w:rsidRPr="00FF1AB4">
        <w:rPr>
          <w:rFonts w:ascii="Times New Roman" w:hAnsi="Times New Roman" w:cs="Times New Roman"/>
        </w:rPr>
        <w:t>,</w:t>
      </w:r>
      <w:r w:rsidRPr="00FF1AB4">
        <w:rPr>
          <w:rFonts w:ascii="Times New Roman" w:hAnsi="Times New Roman" w:cs="Times New Roman"/>
        </w:rPr>
        <w:t xml:space="preserve"> and network traffic logs.</w:t>
      </w:r>
      <w:r w:rsidR="00A12992" w:rsidRPr="00FF1AB4">
        <w:rPr>
          <w:rFonts w:ascii="Times New Roman" w:hAnsi="Times New Roman" w:cs="Times New Roman"/>
        </w:rPr>
        <w:t xml:space="preserve"> </w:t>
      </w:r>
      <w:r w:rsidR="00A12992" w:rsidRPr="00FF1AB4">
        <w:rPr>
          <w:rFonts w:ascii="Times New Roman" w:eastAsia="Times New Roman" w:hAnsi="Times New Roman" w:cs="Times New Roman"/>
          <w:sz w:val="24"/>
          <w:szCs w:val="24"/>
          <w:lang w:eastAsia="en-GB"/>
        </w:rPr>
        <w:t>(Dixon, 2023)</w:t>
      </w:r>
    </w:p>
    <w:p w14:paraId="6EC764EB" w14:textId="72CB7BDF" w:rsidR="00CC34E8" w:rsidRPr="00FF1AB4" w:rsidRDefault="00CC34E8" w:rsidP="00CC34E8">
      <w:pPr>
        <w:rPr>
          <w:rFonts w:ascii="Times New Roman" w:eastAsia="Times New Roman" w:hAnsi="Times New Roman" w:cs="Times New Roman"/>
          <w:sz w:val="24"/>
          <w:szCs w:val="24"/>
          <w:lang w:eastAsia="en-GB"/>
        </w:rPr>
      </w:pPr>
      <w:r w:rsidRPr="00FF1AB4">
        <w:rPr>
          <w:rFonts w:ascii="Times New Roman" w:hAnsi="Times New Roman" w:cs="Times New Roman"/>
        </w:rPr>
        <w:t>Analysis: The obtained proof underwent analysis using forensic analysis tools such as Sleuth Kit which enabled us to investigate file systems, registry entries as well as memory artifacts that indicated intrusion or malicious activities.</w:t>
      </w:r>
      <w:r w:rsidR="00A12992" w:rsidRPr="00FF1AB4">
        <w:rPr>
          <w:rFonts w:ascii="Times New Roman" w:hAnsi="Times New Roman" w:cs="Times New Roman"/>
        </w:rPr>
        <w:t xml:space="preserve"> </w:t>
      </w:r>
      <w:r w:rsidR="00A12992" w:rsidRPr="00FF1AB4">
        <w:rPr>
          <w:rFonts w:ascii="Times New Roman" w:eastAsia="Times New Roman" w:hAnsi="Times New Roman" w:cs="Times New Roman"/>
          <w:sz w:val="24"/>
          <w:szCs w:val="24"/>
          <w:lang w:eastAsia="en-GB"/>
        </w:rPr>
        <w:t>(Carrier, 2020)</w:t>
      </w:r>
    </w:p>
    <w:p w14:paraId="6F5A9656" w14:textId="1D68741B" w:rsidR="00CC34E8" w:rsidRPr="00FF1AB4" w:rsidRDefault="00CC34E8" w:rsidP="00CC34E8">
      <w:pPr>
        <w:rPr>
          <w:rFonts w:ascii="Times New Roman" w:eastAsia="Times New Roman" w:hAnsi="Times New Roman" w:cs="Times New Roman"/>
          <w:sz w:val="24"/>
          <w:szCs w:val="24"/>
          <w:lang w:eastAsia="en-GB"/>
        </w:rPr>
      </w:pPr>
      <w:r w:rsidRPr="00FF1AB4">
        <w:rPr>
          <w:rFonts w:ascii="Times New Roman" w:hAnsi="Times New Roman" w:cs="Times New Roman"/>
        </w:rPr>
        <w:t>Timeline Reconstruction: Using timeline analysis with apps such as Plaso, we reconstructed the order of happenings before the cyber event and after it. Doing this helped to understand TTPs (tactics, techniques</w:t>
      </w:r>
      <w:r w:rsidR="00EC72C7" w:rsidRPr="00FF1AB4">
        <w:rPr>
          <w:rFonts w:ascii="Times New Roman" w:hAnsi="Times New Roman" w:cs="Times New Roman"/>
        </w:rPr>
        <w:t>,</w:t>
      </w:r>
      <w:r w:rsidRPr="00FF1AB4">
        <w:rPr>
          <w:rFonts w:ascii="Times New Roman" w:hAnsi="Times New Roman" w:cs="Times New Roman"/>
        </w:rPr>
        <w:t xml:space="preserve"> and procedures) employed by attackers.</w:t>
      </w:r>
      <w:r w:rsidR="00A12992" w:rsidRPr="00FF1AB4">
        <w:rPr>
          <w:rFonts w:ascii="Times New Roman" w:hAnsi="Times New Roman" w:cs="Times New Roman"/>
        </w:rPr>
        <w:t xml:space="preserve"> </w:t>
      </w:r>
      <w:r w:rsidR="00A12992" w:rsidRPr="00FF1AB4">
        <w:rPr>
          <w:rFonts w:ascii="Times New Roman" w:eastAsia="Times New Roman" w:hAnsi="Times New Roman" w:cs="Times New Roman"/>
          <w:sz w:val="24"/>
          <w:szCs w:val="24"/>
          <w:lang w:eastAsia="en-GB"/>
        </w:rPr>
        <w:t>(Raza, 2023)</w:t>
      </w:r>
    </w:p>
    <w:p w14:paraId="0BEF1F54" w14:textId="44C47E2F" w:rsidR="00CC34E8" w:rsidRPr="00FF1AB4" w:rsidRDefault="00CC34E8" w:rsidP="00CC34E8">
      <w:pPr>
        <w:rPr>
          <w:rFonts w:ascii="Times New Roman" w:eastAsia="Times New Roman" w:hAnsi="Times New Roman" w:cs="Times New Roman"/>
          <w:sz w:val="24"/>
          <w:szCs w:val="24"/>
          <w:lang w:eastAsia="en-GB"/>
        </w:rPr>
      </w:pPr>
      <w:r w:rsidRPr="00FF1AB4">
        <w:rPr>
          <w:rFonts w:ascii="Times New Roman" w:hAnsi="Times New Roman" w:cs="Times New Roman"/>
        </w:rPr>
        <w:t xml:space="preserve">Forensic Reporting: Findings from forensic analysis have been incorporated in comprehensive reports that contain timelines; artifacts and conclusions drawn from the findings. These documents play a significant role in case there is any litigation process in </w:t>
      </w:r>
      <w:r w:rsidR="00EC72C7" w:rsidRPr="00FF1AB4">
        <w:rPr>
          <w:rFonts w:ascii="Times New Roman" w:hAnsi="Times New Roman" w:cs="Times New Roman"/>
        </w:rPr>
        <w:t xml:space="preserve">the </w:t>
      </w:r>
      <w:r w:rsidRPr="00FF1AB4">
        <w:rPr>
          <w:rFonts w:ascii="Times New Roman" w:hAnsi="Times New Roman" w:cs="Times New Roman"/>
        </w:rPr>
        <w:t>future.</w:t>
      </w:r>
      <w:r w:rsidR="0030368B" w:rsidRPr="00FF1AB4">
        <w:rPr>
          <w:rFonts w:ascii="Times New Roman" w:hAnsi="Times New Roman" w:cs="Times New Roman"/>
        </w:rPr>
        <w:t xml:space="preserve"> </w:t>
      </w:r>
      <w:r w:rsidR="0030368B" w:rsidRPr="00FF1AB4">
        <w:rPr>
          <w:rFonts w:ascii="Times New Roman" w:eastAsia="Times New Roman" w:hAnsi="Times New Roman" w:cs="Times New Roman"/>
          <w:sz w:val="24"/>
          <w:szCs w:val="24"/>
          <w:lang w:eastAsia="en-GB"/>
        </w:rPr>
        <w:t>(Brunty, 2021)</w:t>
      </w:r>
    </w:p>
    <w:p w14:paraId="4D946053" w14:textId="1547E00B" w:rsidR="00DF3F8C" w:rsidRPr="00FF1AB4" w:rsidRDefault="00DF3F8C" w:rsidP="00CC34E8">
      <w:pPr>
        <w:rPr>
          <w:rFonts w:ascii="Times New Roman" w:hAnsi="Times New Roman" w:cs="Times New Roman"/>
        </w:rPr>
      </w:pPr>
      <w:r w:rsidRPr="00FF1AB4">
        <w:rPr>
          <w:rFonts w:ascii="Times New Roman" w:hAnsi="Times New Roman" w:cs="Times New Roman"/>
        </w:rPr>
        <w:t>In general, the digital forensic evidence collection process was a central aspect of comprehending the character and breadth of the cyber incident, supporting remediation efforts</w:t>
      </w:r>
      <w:r w:rsidR="005D4BD2" w:rsidRPr="00FF1AB4">
        <w:rPr>
          <w:rFonts w:ascii="Times New Roman" w:hAnsi="Times New Roman" w:cs="Times New Roman"/>
        </w:rPr>
        <w:t>,</w:t>
      </w:r>
      <w:r w:rsidRPr="00FF1AB4">
        <w:rPr>
          <w:rFonts w:ascii="Times New Roman" w:hAnsi="Times New Roman" w:cs="Times New Roman"/>
        </w:rPr>
        <w:t xml:space="preserve"> and building up our responses for future misfortunes.</w:t>
      </w:r>
    </w:p>
    <w:p w14:paraId="16171A1A" w14:textId="4BC457D7" w:rsidR="005D0665" w:rsidRPr="00FF1AB4" w:rsidRDefault="005D0665" w:rsidP="005D0665">
      <w:pPr>
        <w:pStyle w:val="Heading1"/>
        <w:rPr>
          <w:rFonts w:ascii="Times New Roman" w:hAnsi="Times New Roman" w:cs="Times New Roman"/>
        </w:rPr>
      </w:pPr>
      <w:bookmarkStart w:id="14" w:name="_Toc166075775"/>
      <w:r w:rsidRPr="00FF1AB4">
        <w:rPr>
          <w:rFonts w:ascii="Times New Roman" w:hAnsi="Times New Roman" w:cs="Times New Roman"/>
        </w:rPr>
        <w:t>Conclusion:</w:t>
      </w:r>
      <w:bookmarkEnd w:id="14"/>
    </w:p>
    <w:p w14:paraId="08014DF7" w14:textId="391EC52C" w:rsidR="00CD62A8" w:rsidRDefault="00CD62A8" w:rsidP="00CD62A8">
      <w:pPr>
        <w:rPr>
          <w:rFonts w:ascii="Times New Roman" w:hAnsi="Times New Roman" w:cs="Times New Roman"/>
        </w:rPr>
      </w:pPr>
      <w:r w:rsidRPr="00FF1AB4">
        <w:rPr>
          <w:rFonts w:ascii="Times New Roman" w:hAnsi="Times New Roman" w:cs="Times New Roman"/>
        </w:rPr>
        <w:t>To sum it all up, SecBam’s response to the cyber security incident has demonstrated a proactive and structured framework supported by established frameworks. The conformity to NIST and SANS allowed for effective decisions and collaboration throughout the lifecycle of the incident. This involved communication with key stakeholders internally as well as externally with law enforcement agencies and clients ensuring transparency of operations. The main lessons focused on continuous security improvements, employee training</w:t>
      </w:r>
      <w:r w:rsidR="0042766B" w:rsidRPr="00FF1AB4">
        <w:rPr>
          <w:rFonts w:ascii="Times New Roman" w:hAnsi="Times New Roman" w:cs="Times New Roman"/>
        </w:rPr>
        <w:t>,</w:t>
      </w:r>
      <w:r w:rsidRPr="00FF1AB4">
        <w:rPr>
          <w:rFonts w:ascii="Times New Roman" w:hAnsi="Times New Roman" w:cs="Times New Roman"/>
        </w:rPr>
        <w:t xml:space="preserve"> and robustness in reacting to incidents. Henceforth, we are advised to strengthen our safety net by installing advanced threat detection systems; </w:t>
      </w:r>
      <w:r w:rsidR="0042766B" w:rsidRPr="00FF1AB4">
        <w:rPr>
          <w:rFonts w:ascii="Times New Roman" w:hAnsi="Times New Roman" w:cs="Times New Roman"/>
        </w:rPr>
        <w:t xml:space="preserve">and </w:t>
      </w:r>
      <w:r w:rsidRPr="00FF1AB4">
        <w:rPr>
          <w:rFonts w:ascii="Times New Roman" w:hAnsi="Times New Roman" w:cs="Times New Roman"/>
        </w:rPr>
        <w:t>improving personnel learning initiatives; while enhancing our reaction plan in case of an eventuality so that we can recover from any breach faster than before. Full forensic evidence gathering has further solidified our responder position enabling us to react swiftly and effectively in case of a potential attack.</w:t>
      </w:r>
    </w:p>
    <w:p w14:paraId="388785EE" w14:textId="77777777" w:rsidR="00AA1158" w:rsidRDefault="00AA1158" w:rsidP="00CD62A8">
      <w:pPr>
        <w:rPr>
          <w:rFonts w:ascii="Times New Roman" w:hAnsi="Times New Roman" w:cs="Times New Roman"/>
        </w:rPr>
      </w:pPr>
    </w:p>
    <w:p w14:paraId="791A73C8" w14:textId="05AB64D0" w:rsidR="00AA1158" w:rsidRPr="00AA1158" w:rsidRDefault="00AA1158" w:rsidP="00AA1158">
      <w:pPr>
        <w:pStyle w:val="Heading1"/>
        <w:rPr>
          <w:rFonts w:ascii="Times New Roman" w:hAnsi="Times New Roman" w:cs="Times New Roman"/>
        </w:rPr>
      </w:pPr>
      <w:r>
        <w:rPr>
          <w:rFonts w:ascii="Times New Roman" w:hAnsi="Times New Roman" w:cs="Times New Roman"/>
        </w:rPr>
        <w:t>Reference list:</w:t>
      </w:r>
    </w:p>
    <w:p w14:paraId="67C5D854" w14:textId="77777777" w:rsidR="00FF1AB4" w:rsidRPr="00FF1AB4" w:rsidRDefault="00FF1AB4" w:rsidP="00FF1AB4">
      <w:pPr>
        <w:pStyle w:val="NormalWeb"/>
        <w:spacing w:before="0" w:beforeAutospacing="0" w:after="240" w:afterAutospacing="0" w:line="360" w:lineRule="auto"/>
      </w:pPr>
      <w:r w:rsidRPr="00FF1AB4">
        <w:t xml:space="preserve">Acronis (2024). </w:t>
      </w:r>
      <w:r w:rsidRPr="00FF1AB4">
        <w:rPr>
          <w:i/>
          <w:iCs/>
        </w:rPr>
        <w:t>What is Endpoint Detection and Response? | EDR Security</w:t>
      </w:r>
      <w:r w:rsidRPr="00FF1AB4">
        <w:t>. [online] Acronis. Available at: https://www.acronis.com/en-gb/blog/posts/what-is-endpoint-detection-and-response-edr/ [Accessed 9 May 2024].</w:t>
      </w:r>
    </w:p>
    <w:p w14:paraId="2C08FFA9" w14:textId="77777777" w:rsidR="00FF1AB4" w:rsidRPr="00FF1AB4" w:rsidRDefault="00FF1AB4" w:rsidP="00FF1AB4">
      <w:pPr>
        <w:pStyle w:val="NormalWeb"/>
        <w:spacing w:before="0" w:beforeAutospacing="0" w:after="240" w:afterAutospacing="0" w:line="360" w:lineRule="auto"/>
      </w:pPr>
      <w:r w:rsidRPr="00FF1AB4">
        <w:lastRenderedPageBreak/>
        <w:t xml:space="preserve">Bluevoyant (2024). </w:t>
      </w:r>
      <w:r w:rsidRPr="00FF1AB4">
        <w:rPr>
          <w:i/>
          <w:iCs/>
        </w:rPr>
        <w:t>What is Incident Response? Process, Frameworks, and Tools</w:t>
      </w:r>
      <w:r w:rsidRPr="00FF1AB4">
        <w:t>. [online] BlueVoyant. Available at: https://www.bluevoyant.com/knowledge-center/what-is-incident-response-process-frameworks-and-tools [Accessed 8 May 2024].</w:t>
      </w:r>
    </w:p>
    <w:p w14:paraId="7044B482" w14:textId="77777777" w:rsidR="00FF1AB4" w:rsidRPr="00FF1AB4" w:rsidRDefault="00FF1AB4" w:rsidP="00FF1AB4">
      <w:pPr>
        <w:pStyle w:val="NormalWeb"/>
        <w:spacing w:before="0" w:beforeAutospacing="0" w:after="240" w:afterAutospacing="0" w:line="360" w:lineRule="auto"/>
      </w:pPr>
      <w:r w:rsidRPr="00FF1AB4">
        <w:t xml:space="preserve">Brunty, J. (2021). </w:t>
      </w:r>
      <w:r w:rsidRPr="00FF1AB4">
        <w:rPr>
          <w:i/>
          <w:iCs/>
        </w:rPr>
        <w:t>Writing DFIR Reports: A Primer</w:t>
      </w:r>
      <w:r w:rsidRPr="00FF1AB4">
        <w:t>. [online] Forensic Focus. Available at: https://www.forensicfocus.com/articles/writing-dfir-reports-a-primer/ [Accessed 10 May 2024].</w:t>
      </w:r>
    </w:p>
    <w:p w14:paraId="16CDCF52" w14:textId="77777777" w:rsidR="00FF1AB4" w:rsidRPr="00FF1AB4" w:rsidRDefault="00FF1AB4" w:rsidP="00FF1AB4">
      <w:pPr>
        <w:pStyle w:val="NormalWeb"/>
        <w:spacing w:before="0" w:beforeAutospacing="0" w:after="240" w:afterAutospacing="0" w:line="360" w:lineRule="auto"/>
      </w:pPr>
      <w:r w:rsidRPr="00FF1AB4">
        <w:t xml:space="preserve">Carrier, B. (2020). </w:t>
      </w:r>
      <w:r w:rsidRPr="00FF1AB4">
        <w:rPr>
          <w:i/>
          <w:iCs/>
        </w:rPr>
        <w:t>The Sleuth Kit: File and Volume System Analysis</w:t>
      </w:r>
      <w:r w:rsidRPr="00FF1AB4">
        <w:t>. [online] Sleuthkit.org. Available at: https://www.sleuthkit.org/sleuthkit/desc.php [Accessed 10 May 2024].</w:t>
      </w:r>
    </w:p>
    <w:p w14:paraId="70974C6F" w14:textId="77777777" w:rsidR="00FF1AB4" w:rsidRPr="00FF1AB4" w:rsidRDefault="00FF1AB4" w:rsidP="00FF1AB4">
      <w:pPr>
        <w:pStyle w:val="NormalWeb"/>
        <w:spacing w:before="0" w:beforeAutospacing="0" w:after="240" w:afterAutospacing="0" w:line="360" w:lineRule="auto"/>
      </w:pPr>
      <w:r w:rsidRPr="00FF1AB4">
        <w:t xml:space="preserve">Computer Security Division, I.T.L. (2024). </w:t>
      </w:r>
      <w:r w:rsidRPr="00FF1AB4">
        <w:rPr>
          <w:i/>
          <w:iCs/>
        </w:rPr>
        <w:t>Incident Response | CSRC | CSRC</w:t>
      </w:r>
      <w:r w:rsidRPr="00FF1AB4">
        <w:t>. [online] CSRC | NIST. Available at: https://csrc.nist.gov/Projects/incident-response [Accessed 8 May 2024].</w:t>
      </w:r>
    </w:p>
    <w:p w14:paraId="775C41BF" w14:textId="77777777" w:rsidR="00FF1AB4" w:rsidRPr="00FF1AB4" w:rsidRDefault="00FF1AB4" w:rsidP="00FF1AB4">
      <w:pPr>
        <w:pStyle w:val="NormalWeb"/>
        <w:spacing w:before="0" w:beforeAutospacing="0" w:after="240" w:afterAutospacing="0" w:line="360" w:lineRule="auto"/>
      </w:pPr>
      <w:r w:rsidRPr="00FF1AB4">
        <w:t xml:space="preserve">Dixon, S. (2023). </w:t>
      </w:r>
      <w:r w:rsidRPr="00FF1AB4">
        <w:rPr>
          <w:i/>
          <w:iCs/>
        </w:rPr>
        <w:t>TryHackMe: Disk Analysis &amp; Autopsy</w:t>
      </w:r>
      <w:r w:rsidRPr="00FF1AB4">
        <w:t>. [online] Medium. Available at: https://terguttac.medium.com/tryhackme-disk-analysis-autopsy-d4883eb7ab51 [Accessed 10 May 2024].</w:t>
      </w:r>
    </w:p>
    <w:p w14:paraId="29532D4E" w14:textId="77777777" w:rsidR="00FF1AB4" w:rsidRPr="00FF1AB4" w:rsidRDefault="00FF1AB4" w:rsidP="00FF1AB4">
      <w:pPr>
        <w:pStyle w:val="NormalWeb"/>
        <w:spacing w:before="0" w:beforeAutospacing="0" w:after="240" w:afterAutospacing="0" w:line="360" w:lineRule="auto"/>
      </w:pPr>
      <w:r w:rsidRPr="00FF1AB4">
        <w:t xml:space="preserve">Embroker Team (2024). </w:t>
      </w:r>
      <w:r w:rsidRPr="00FF1AB4">
        <w:rPr>
          <w:i/>
          <w:iCs/>
        </w:rPr>
        <w:t>How to Design a Cyber Incident Response Plan - Embroker</w:t>
      </w:r>
      <w:r w:rsidRPr="00FF1AB4">
        <w:t>. [online] embroker.com. Available at: https://www.embroker.com/blog/cyber-incident-response-plan/ [Accessed 10 May 2024].</w:t>
      </w:r>
    </w:p>
    <w:p w14:paraId="76FDD8FB" w14:textId="77777777" w:rsidR="00FF1AB4" w:rsidRPr="00FF1AB4" w:rsidRDefault="00FF1AB4" w:rsidP="00FF1AB4">
      <w:pPr>
        <w:pStyle w:val="NormalWeb"/>
        <w:spacing w:before="0" w:beforeAutospacing="0" w:after="240" w:afterAutospacing="0" w:line="360" w:lineRule="auto"/>
      </w:pPr>
      <w:r w:rsidRPr="00FF1AB4">
        <w:t xml:space="preserve">Federal Trade Commission (2021). </w:t>
      </w:r>
      <w:r w:rsidRPr="00FF1AB4">
        <w:rPr>
          <w:i/>
          <w:iCs/>
        </w:rPr>
        <w:t>Data breach response: A guide for business</w:t>
      </w:r>
      <w:r w:rsidRPr="00FF1AB4">
        <w:t>. [online] Federal Trade Commission. Available at: https://www.ftc.gov/business-guidance/resources/data-breach-response-guide-business [Accessed 10 May 2024].</w:t>
      </w:r>
    </w:p>
    <w:p w14:paraId="037A189D" w14:textId="77777777" w:rsidR="00FF1AB4" w:rsidRPr="00FF1AB4" w:rsidRDefault="00FF1AB4" w:rsidP="00FF1AB4">
      <w:pPr>
        <w:pStyle w:val="NormalWeb"/>
        <w:spacing w:before="0" w:beforeAutospacing="0" w:after="240" w:afterAutospacing="0" w:line="360" w:lineRule="auto"/>
      </w:pPr>
      <w:r w:rsidRPr="00FF1AB4">
        <w:t xml:space="preserve">Fruhlinger, J. (2021). </w:t>
      </w:r>
      <w:r w:rsidRPr="00FF1AB4">
        <w:rPr>
          <w:i/>
          <w:iCs/>
        </w:rPr>
        <w:t>Tabletop exercises explained: Definition, examples, and objectives</w:t>
      </w:r>
      <w:r w:rsidRPr="00FF1AB4">
        <w:t>. [online] CSO Online. Available at: https://www.csoonline.com/article/570871/tabletop-exercises-explained-definition-examples-and-objectives.html [Accessed 10 May 2024].</w:t>
      </w:r>
    </w:p>
    <w:p w14:paraId="7E0EE339" w14:textId="77777777" w:rsidR="00FF1AB4" w:rsidRPr="00FF1AB4" w:rsidRDefault="00FF1AB4" w:rsidP="00FF1AB4">
      <w:pPr>
        <w:pStyle w:val="NormalWeb"/>
        <w:spacing w:before="0" w:beforeAutospacing="0" w:after="240" w:afterAutospacing="0" w:line="360" w:lineRule="auto"/>
      </w:pPr>
      <w:r w:rsidRPr="00FF1AB4">
        <w:t xml:space="preserve">Hietala, J. (2022). </w:t>
      </w:r>
      <w:r w:rsidRPr="00FF1AB4">
        <w:rPr>
          <w:i/>
          <w:iCs/>
        </w:rPr>
        <w:t>Zero-trust architecture: Why trusting no one is a smart way to protect your IT infrastructure</w:t>
      </w:r>
      <w:r w:rsidRPr="00FF1AB4">
        <w:t>. [online] Enable Architect. Available at: https://www.redhat.com/architect/zero-trust-architecture [Accessed 10 May 2024].</w:t>
      </w:r>
    </w:p>
    <w:p w14:paraId="1C2FF7A6" w14:textId="77777777" w:rsidR="00FF1AB4" w:rsidRPr="00FF1AB4" w:rsidRDefault="00FF1AB4" w:rsidP="00FF1AB4">
      <w:pPr>
        <w:pStyle w:val="NormalWeb"/>
        <w:spacing w:before="0" w:beforeAutospacing="0" w:after="240" w:afterAutospacing="0" w:line="360" w:lineRule="auto"/>
      </w:pPr>
      <w:r w:rsidRPr="00FF1AB4">
        <w:lastRenderedPageBreak/>
        <w:t xml:space="preserve">Hollenbeck, R. (2023). </w:t>
      </w:r>
      <w:r w:rsidRPr="00FF1AB4">
        <w:rPr>
          <w:i/>
          <w:iCs/>
        </w:rPr>
        <w:t>How to rebuild trust after a cybersecurity breach</w:t>
      </w:r>
      <w:r w:rsidRPr="00FF1AB4">
        <w:t>. [online] World Economic Forum. Available at: https://www.weforum.org/agenda/2023/12/rebuild-trust-cybersecurity-breach/ [Accessed 10 May 2024].</w:t>
      </w:r>
    </w:p>
    <w:p w14:paraId="773C4B2E" w14:textId="77777777" w:rsidR="00FF1AB4" w:rsidRPr="00FF1AB4" w:rsidRDefault="00FF1AB4" w:rsidP="00FF1AB4">
      <w:pPr>
        <w:pStyle w:val="NormalWeb"/>
        <w:spacing w:before="0" w:beforeAutospacing="0" w:after="240" w:afterAutospacing="0" w:line="360" w:lineRule="auto"/>
      </w:pPr>
      <w:r w:rsidRPr="00FF1AB4">
        <w:t xml:space="preserve">IntaForensics (2024). </w:t>
      </w:r>
      <w:r w:rsidRPr="00FF1AB4">
        <w:rPr>
          <w:i/>
          <w:iCs/>
        </w:rPr>
        <w:t>Managing a Malware Outbreak in the Retail Sector - IntaForensics</w:t>
      </w:r>
      <w:r w:rsidRPr="00FF1AB4">
        <w:t>. [online] intaforensics. Available at: https://www.intaforensics.com/case-study-malware-retail-sector/ [Accessed 9 May 2024].</w:t>
      </w:r>
    </w:p>
    <w:p w14:paraId="5F1D2689" w14:textId="77777777" w:rsidR="00FF1AB4" w:rsidRPr="00FF1AB4" w:rsidRDefault="00FF1AB4" w:rsidP="00FF1AB4">
      <w:pPr>
        <w:pStyle w:val="NormalWeb"/>
        <w:spacing w:before="0" w:beforeAutospacing="0" w:after="240" w:afterAutospacing="0" w:line="360" w:lineRule="auto"/>
      </w:pPr>
      <w:r w:rsidRPr="00FF1AB4">
        <w:t xml:space="preserve">Kashmer, K. (2022). </w:t>
      </w:r>
      <w:r w:rsidRPr="00FF1AB4">
        <w:rPr>
          <w:i/>
          <w:iCs/>
        </w:rPr>
        <w:t>A Step-by-Step Guide to Creating a Cyber Security Incident Report</w:t>
      </w:r>
      <w:r w:rsidRPr="00FF1AB4">
        <w:t>. [online] TechSeven Partners. Available at: https://techsevenpartners.com/a-step-by-step-guide-to-creating-a-cyber-security-incident-report/ [Accessed 8 May 2024].</w:t>
      </w:r>
    </w:p>
    <w:p w14:paraId="7C5C354D" w14:textId="77777777" w:rsidR="00FF1AB4" w:rsidRPr="00FF1AB4" w:rsidRDefault="00FF1AB4" w:rsidP="00FF1AB4">
      <w:pPr>
        <w:pStyle w:val="NormalWeb"/>
        <w:spacing w:before="0" w:beforeAutospacing="0" w:after="240" w:afterAutospacing="0" w:line="360" w:lineRule="auto"/>
      </w:pPr>
      <w:r w:rsidRPr="00FF1AB4">
        <w:t xml:space="preserve">Kirvan, P. (2024). </w:t>
      </w:r>
      <w:r w:rsidRPr="00FF1AB4">
        <w:rPr>
          <w:i/>
          <w:iCs/>
        </w:rPr>
        <w:t>How to build an incident response plan, with examples, template | TechTarget</w:t>
      </w:r>
      <w:r w:rsidRPr="00FF1AB4">
        <w:t>. [online] Security. Available at: https://www.techtarget.com/searchsecurity/feature/5-critical-steps-to-creating-an-effective-incident-response-plan#:~:text=Incident%20response%20plans%20help%20reduce [Accessed 10 May 2024].</w:t>
      </w:r>
    </w:p>
    <w:p w14:paraId="7875BB83" w14:textId="77777777" w:rsidR="00FF1AB4" w:rsidRPr="00FF1AB4" w:rsidRDefault="00FF1AB4" w:rsidP="00FF1AB4">
      <w:pPr>
        <w:pStyle w:val="NormalWeb"/>
        <w:spacing w:before="0" w:beforeAutospacing="0" w:after="240" w:afterAutospacing="0" w:line="360" w:lineRule="auto"/>
      </w:pPr>
      <w:r w:rsidRPr="00FF1AB4">
        <w:t xml:space="preserve">Mohanakrishnan, R. (2022). </w:t>
      </w:r>
      <w:r w:rsidRPr="00FF1AB4">
        <w:rPr>
          <w:i/>
          <w:iCs/>
        </w:rPr>
        <w:t>What Is Intrusion Detection and Prevention System? Definition, Examples, Techniques, and Best Practices</w:t>
      </w:r>
      <w:r w:rsidRPr="00FF1AB4">
        <w:t>. [online] Spiceworks. Available at: https://www.spiceworks.com/it-security/vulnerability-management/articles/what-is-idps/ [Accessed 8 May 2024].</w:t>
      </w:r>
    </w:p>
    <w:p w14:paraId="57A78A33" w14:textId="77777777" w:rsidR="00FF1AB4" w:rsidRPr="00FF1AB4" w:rsidRDefault="00FF1AB4" w:rsidP="00FF1AB4">
      <w:pPr>
        <w:pStyle w:val="NormalWeb"/>
        <w:spacing w:before="0" w:beforeAutospacing="0" w:after="240" w:afterAutospacing="0" w:line="360" w:lineRule="auto"/>
      </w:pPr>
      <w:r w:rsidRPr="00FF1AB4">
        <w:t xml:space="preserve">Mukherjee, A. (2023). </w:t>
      </w:r>
      <w:r w:rsidRPr="00FF1AB4">
        <w:rPr>
          <w:i/>
          <w:iCs/>
        </w:rPr>
        <w:t>Post-Incident Analysis: Lessons for Cybersecurity Excellence</w:t>
      </w:r>
      <w:r w:rsidRPr="00FF1AB4">
        <w:t>. [online] www.threatintelligence.com. Available at: https://www.threatintelligence.com/blog/post-incident-analysis [Accessed 10 May 2024].</w:t>
      </w:r>
    </w:p>
    <w:p w14:paraId="516D98DF" w14:textId="77777777" w:rsidR="00FF1AB4" w:rsidRPr="00FF1AB4" w:rsidRDefault="00FF1AB4" w:rsidP="00FF1AB4">
      <w:pPr>
        <w:pStyle w:val="NormalWeb"/>
        <w:spacing w:before="0" w:beforeAutospacing="0" w:after="240" w:afterAutospacing="0" w:line="360" w:lineRule="auto"/>
      </w:pPr>
      <w:r w:rsidRPr="00FF1AB4">
        <w:t xml:space="preserve">National Cyber Security Centre (2019). </w:t>
      </w:r>
      <w:r w:rsidRPr="00FF1AB4">
        <w:rPr>
          <w:i/>
          <w:iCs/>
        </w:rPr>
        <w:t>Build: A cyber security incident response team (CSIRT)</w:t>
      </w:r>
      <w:r w:rsidRPr="00FF1AB4">
        <w:t>. [online] www.ncsc.gov.uk. Available at: https://www.ncsc.gov.uk/collection/incident-management/creating-incident-response-team [Accessed 8 May 2024].</w:t>
      </w:r>
    </w:p>
    <w:p w14:paraId="748E94C0" w14:textId="77777777" w:rsidR="00FF1AB4" w:rsidRPr="00FF1AB4" w:rsidRDefault="00FF1AB4" w:rsidP="00FF1AB4">
      <w:pPr>
        <w:pStyle w:val="NormalWeb"/>
        <w:spacing w:before="0" w:beforeAutospacing="0" w:after="240" w:afterAutospacing="0" w:line="360" w:lineRule="auto"/>
      </w:pPr>
      <w:r w:rsidRPr="00FF1AB4">
        <w:t xml:space="preserve">NCSC (2018). </w:t>
      </w:r>
      <w:r w:rsidRPr="00FF1AB4">
        <w:rPr>
          <w:i/>
          <w:iCs/>
        </w:rPr>
        <w:t>Phishing attacks: defending your organisation</w:t>
      </w:r>
      <w:r w:rsidRPr="00FF1AB4">
        <w:t>. [online] NCSC.gov.uk. Available at: https://www.ncsc.gov.uk/guidance/phishing [Accessed 8 May 2024].</w:t>
      </w:r>
    </w:p>
    <w:p w14:paraId="1CED7F9D" w14:textId="77777777" w:rsidR="00FF1AB4" w:rsidRPr="00FF1AB4" w:rsidRDefault="00FF1AB4" w:rsidP="00FF1AB4">
      <w:pPr>
        <w:pStyle w:val="NormalWeb"/>
        <w:spacing w:before="0" w:beforeAutospacing="0" w:after="240" w:afterAutospacing="0" w:line="360" w:lineRule="auto"/>
      </w:pPr>
      <w:r w:rsidRPr="00FF1AB4">
        <w:lastRenderedPageBreak/>
        <w:t xml:space="preserve">NCSC (2021a). </w:t>
      </w:r>
      <w:r w:rsidRPr="00FF1AB4">
        <w:rPr>
          <w:i/>
          <w:iCs/>
        </w:rPr>
        <w:t>Cyber security training for school staff</w:t>
      </w:r>
      <w:r w:rsidRPr="00FF1AB4">
        <w:t>. [online] www.ncsc.gov.uk. Available at: https://www.ncsc.gov.uk/information/cyber-security-training-schools [Accessed 10 May 2024].</w:t>
      </w:r>
    </w:p>
    <w:p w14:paraId="5E45793C" w14:textId="77777777" w:rsidR="00FF1AB4" w:rsidRPr="00FF1AB4" w:rsidRDefault="00FF1AB4" w:rsidP="00FF1AB4">
      <w:pPr>
        <w:pStyle w:val="NormalWeb"/>
        <w:spacing w:before="0" w:beforeAutospacing="0" w:after="240" w:afterAutospacing="0" w:line="360" w:lineRule="auto"/>
      </w:pPr>
      <w:r w:rsidRPr="00FF1AB4">
        <w:t xml:space="preserve">NCSC (2021b). </w:t>
      </w:r>
      <w:r w:rsidRPr="00FF1AB4">
        <w:rPr>
          <w:i/>
          <w:iCs/>
        </w:rPr>
        <w:t>Incident management</w:t>
      </w:r>
      <w:r w:rsidRPr="00FF1AB4">
        <w:t>. [online] www.ncsc.gov.uk. Available at: https://www.ncsc.gov.uk/collection/10-steps/incident-management [Accessed 9 May 2024].</w:t>
      </w:r>
    </w:p>
    <w:p w14:paraId="2A48CC6A" w14:textId="77777777" w:rsidR="00FF1AB4" w:rsidRPr="00FF1AB4" w:rsidRDefault="00FF1AB4" w:rsidP="00FF1AB4">
      <w:pPr>
        <w:pStyle w:val="NormalWeb"/>
        <w:spacing w:before="0" w:beforeAutospacing="0" w:after="240" w:afterAutospacing="0" w:line="360" w:lineRule="auto"/>
      </w:pPr>
      <w:r w:rsidRPr="00FF1AB4">
        <w:t xml:space="preserve">NCSC (2024a). </w:t>
      </w:r>
      <w:r w:rsidRPr="00FF1AB4">
        <w:rPr>
          <w:i/>
          <w:iCs/>
        </w:rPr>
        <w:t>Planning your response to cyber incidents</w:t>
      </w:r>
      <w:r w:rsidRPr="00FF1AB4">
        <w:t>. [online] www.ncsc.gov.uk. Available at: https://www.ncsc.gov.uk/collection/board-toolkit/planning-your-response-to-cyber-incidents [Accessed 10 May 2024].</w:t>
      </w:r>
    </w:p>
    <w:p w14:paraId="45D6BB46" w14:textId="77777777" w:rsidR="00FF1AB4" w:rsidRPr="00FF1AB4" w:rsidRDefault="00FF1AB4" w:rsidP="00FF1AB4">
      <w:pPr>
        <w:pStyle w:val="NormalWeb"/>
        <w:spacing w:before="0" w:beforeAutospacing="0" w:after="240" w:afterAutospacing="0" w:line="360" w:lineRule="auto"/>
      </w:pPr>
      <w:r w:rsidRPr="00FF1AB4">
        <w:t xml:space="preserve">NCSC (2024b). </w:t>
      </w:r>
      <w:r w:rsidRPr="00FF1AB4">
        <w:rPr>
          <w:i/>
          <w:iCs/>
        </w:rPr>
        <w:t>Principle D1 Response and recovery planning</w:t>
      </w:r>
      <w:r w:rsidRPr="00FF1AB4">
        <w:t>. [online] www.ncsc.gov.uk. Available at: https://www.ncsc.gov.uk/collection/cyber-assessment-framework/caf-objective-d/principle-d1-response-and-recovery-planning [Accessed 9 May 2024].</w:t>
      </w:r>
    </w:p>
    <w:p w14:paraId="59DB522E" w14:textId="77777777" w:rsidR="00FF1AB4" w:rsidRPr="00FF1AB4" w:rsidRDefault="00FF1AB4" w:rsidP="00FF1AB4">
      <w:pPr>
        <w:pStyle w:val="NormalWeb"/>
        <w:spacing w:before="0" w:beforeAutospacing="0" w:after="240" w:afterAutospacing="0" w:line="360" w:lineRule="auto"/>
      </w:pPr>
      <w:r w:rsidRPr="00FF1AB4">
        <w:t xml:space="preserve">NCSC (2024c). </w:t>
      </w:r>
      <w:r w:rsidRPr="00FF1AB4">
        <w:rPr>
          <w:i/>
          <w:iCs/>
        </w:rPr>
        <w:t>Responding to a cyber incident – a guide for CEOs</w:t>
      </w:r>
      <w:r w:rsidRPr="00FF1AB4">
        <w:t>. [online] www.ncsc.gov.uk. Available at: https://www.ncsc.gov.uk/guidance/ceos-responding-cyber-incidents [Accessed 10 May 2024].</w:t>
      </w:r>
    </w:p>
    <w:p w14:paraId="4DECA22D" w14:textId="77777777" w:rsidR="00FF1AB4" w:rsidRPr="00FF1AB4" w:rsidRDefault="00FF1AB4" w:rsidP="00FF1AB4">
      <w:pPr>
        <w:pStyle w:val="NormalWeb"/>
        <w:spacing w:before="0" w:beforeAutospacing="0" w:after="240" w:afterAutospacing="0" w:line="360" w:lineRule="auto"/>
      </w:pPr>
      <w:r w:rsidRPr="00FF1AB4">
        <w:t xml:space="preserve">Neumann, J. (2024). </w:t>
      </w:r>
      <w:r w:rsidRPr="00FF1AB4">
        <w:rPr>
          <w:i/>
          <w:iCs/>
        </w:rPr>
        <w:t>Why we need more cybersecurity Tabletop Exercises</w:t>
      </w:r>
      <w:r w:rsidRPr="00FF1AB4">
        <w:t>. [online] DXC Technology. Available at: https://dxc.com/us/en/insights/perspectives/paper/why-we-need-more-cybersecurity-tabletop-exercises [Accessed 9 May 2024].</w:t>
      </w:r>
    </w:p>
    <w:p w14:paraId="0A166EAB" w14:textId="77777777" w:rsidR="00FF1AB4" w:rsidRPr="00FF1AB4" w:rsidRDefault="00FF1AB4" w:rsidP="00FF1AB4">
      <w:pPr>
        <w:pStyle w:val="NormalWeb"/>
        <w:spacing w:before="0" w:beforeAutospacing="0" w:after="240" w:afterAutospacing="0" w:line="360" w:lineRule="auto"/>
      </w:pPr>
      <w:r w:rsidRPr="00FF1AB4">
        <w:t xml:space="preserve">Ramsay, F. (2023). </w:t>
      </w:r>
      <w:r w:rsidRPr="00FF1AB4">
        <w:rPr>
          <w:i/>
          <w:iCs/>
        </w:rPr>
        <w:t>Advanced Threat Detection (ATD) Technologies</w:t>
      </w:r>
      <w:r w:rsidRPr="00FF1AB4">
        <w:t>. [online] Alliance Solutions. Available at: https://www.alliancesolutions.co.uk/advanced-threat-detection-atd-technologies/ [Accessed 10 May 2024].</w:t>
      </w:r>
    </w:p>
    <w:p w14:paraId="19A05331" w14:textId="77777777" w:rsidR="00FF1AB4" w:rsidRPr="00FF1AB4" w:rsidRDefault="00FF1AB4" w:rsidP="00FF1AB4">
      <w:pPr>
        <w:pStyle w:val="NormalWeb"/>
        <w:spacing w:before="0" w:beforeAutospacing="0" w:after="240" w:afterAutospacing="0" w:line="360" w:lineRule="auto"/>
      </w:pPr>
      <w:r w:rsidRPr="00FF1AB4">
        <w:t xml:space="preserve">Raza, M. (2023). </w:t>
      </w:r>
      <w:r w:rsidRPr="00FF1AB4">
        <w:rPr>
          <w:i/>
          <w:iCs/>
        </w:rPr>
        <w:t>What’s TTP? Tactics, Techniques &amp; Procedures Explained</w:t>
      </w:r>
      <w:r w:rsidRPr="00FF1AB4">
        <w:t>. [online] Splunk-Blogs. Available at: https://www.splunk.com/en_us/blog/learn/ttp-tactics-techniques-procedures.html [Accessed 10 May 2024].</w:t>
      </w:r>
    </w:p>
    <w:p w14:paraId="555C652D" w14:textId="77777777" w:rsidR="00FF1AB4" w:rsidRPr="00FF1AB4" w:rsidRDefault="00FF1AB4" w:rsidP="00CD62A8">
      <w:pPr>
        <w:rPr>
          <w:rFonts w:ascii="Times New Roman" w:hAnsi="Times New Roman" w:cs="Times New Roman"/>
        </w:rPr>
      </w:pPr>
    </w:p>
    <w:sectPr w:rsidR="00FF1AB4" w:rsidRPr="00FF1A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E43B5"/>
    <w:multiLevelType w:val="hybridMultilevel"/>
    <w:tmpl w:val="7E588D3E"/>
    <w:lvl w:ilvl="0" w:tplc="9326AB5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24F1B24"/>
    <w:multiLevelType w:val="hybridMultilevel"/>
    <w:tmpl w:val="E9CC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FF6136"/>
    <w:multiLevelType w:val="hybridMultilevel"/>
    <w:tmpl w:val="5700F29A"/>
    <w:lvl w:ilvl="0" w:tplc="9326AB5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14540D"/>
    <w:multiLevelType w:val="hybridMultilevel"/>
    <w:tmpl w:val="3C1C6FEC"/>
    <w:lvl w:ilvl="0" w:tplc="9326AB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8924C4"/>
    <w:multiLevelType w:val="hybridMultilevel"/>
    <w:tmpl w:val="34063ECA"/>
    <w:lvl w:ilvl="0" w:tplc="9326AB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6393137">
    <w:abstractNumId w:val="1"/>
  </w:num>
  <w:num w:numId="2" w16cid:durableId="1655601248">
    <w:abstractNumId w:val="3"/>
  </w:num>
  <w:num w:numId="3" w16cid:durableId="1457409075">
    <w:abstractNumId w:val="4"/>
  </w:num>
  <w:num w:numId="4" w16cid:durableId="1004941176">
    <w:abstractNumId w:val="2"/>
  </w:num>
  <w:num w:numId="5" w16cid:durableId="80531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B0"/>
    <w:rsid w:val="00047A49"/>
    <w:rsid w:val="00064B84"/>
    <w:rsid w:val="00071B09"/>
    <w:rsid w:val="00084F8E"/>
    <w:rsid w:val="000E31A8"/>
    <w:rsid w:val="000E7196"/>
    <w:rsid w:val="00110357"/>
    <w:rsid w:val="001B0CD4"/>
    <w:rsid w:val="00234D2E"/>
    <w:rsid w:val="00237C07"/>
    <w:rsid w:val="002856B9"/>
    <w:rsid w:val="002E0F80"/>
    <w:rsid w:val="0030368B"/>
    <w:rsid w:val="00332340"/>
    <w:rsid w:val="00335507"/>
    <w:rsid w:val="003567B0"/>
    <w:rsid w:val="003A17B4"/>
    <w:rsid w:val="0040499E"/>
    <w:rsid w:val="0042766B"/>
    <w:rsid w:val="00476EAD"/>
    <w:rsid w:val="004C1DA3"/>
    <w:rsid w:val="004C6EB3"/>
    <w:rsid w:val="004C777C"/>
    <w:rsid w:val="005868DE"/>
    <w:rsid w:val="005D0665"/>
    <w:rsid w:val="005D4BD2"/>
    <w:rsid w:val="00601773"/>
    <w:rsid w:val="00643333"/>
    <w:rsid w:val="007A492F"/>
    <w:rsid w:val="007A7CC0"/>
    <w:rsid w:val="007C13B0"/>
    <w:rsid w:val="009367AD"/>
    <w:rsid w:val="00977ADA"/>
    <w:rsid w:val="00A12992"/>
    <w:rsid w:val="00A6027C"/>
    <w:rsid w:val="00A61E2F"/>
    <w:rsid w:val="00A644DD"/>
    <w:rsid w:val="00AA1158"/>
    <w:rsid w:val="00AB4AE5"/>
    <w:rsid w:val="00B37925"/>
    <w:rsid w:val="00B40A94"/>
    <w:rsid w:val="00B768C8"/>
    <w:rsid w:val="00BC3CD9"/>
    <w:rsid w:val="00BD0A7F"/>
    <w:rsid w:val="00BF54D7"/>
    <w:rsid w:val="00C219E7"/>
    <w:rsid w:val="00CB177C"/>
    <w:rsid w:val="00CC34E8"/>
    <w:rsid w:val="00CD62A8"/>
    <w:rsid w:val="00DF3F8C"/>
    <w:rsid w:val="00E06DEC"/>
    <w:rsid w:val="00E266CC"/>
    <w:rsid w:val="00EB2D80"/>
    <w:rsid w:val="00EC72C7"/>
    <w:rsid w:val="00F124D6"/>
    <w:rsid w:val="00F31FB2"/>
    <w:rsid w:val="00F5415C"/>
    <w:rsid w:val="00FF1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11558"/>
  <w15:chartTrackingRefBased/>
  <w15:docId w15:val="{D67DC364-486E-4691-9A4A-91366EC4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3B0"/>
    <w:rPr>
      <w:kern w:val="0"/>
      <w14:ligatures w14:val="none"/>
    </w:rPr>
  </w:style>
  <w:style w:type="paragraph" w:styleId="Heading1">
    <w:name w:val="heading 1"/>
    <w:basedOn w:val="Normal"/>
    <w:next w:val="Normal"/>
    <w:link w:val="Heading1Char"/>
    <w:uiPriority w:val="9"/>
    <w:qFormat/>
    <w:rsid w:val="005D06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3C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665"/>
    <w:rPr>
      <w:rFonts w:asciiTheme="majorHAnsi" w:eastAsiaTheme="majorEastAsia" w:hAnsiTheme="majorHAnsi" w:cstheme="majorBidi"/>
      <w:color w:val="2F5496" w:themeColor="accent1" w:themeShade="BF"/>
      <w:kern w:val="0"/>
      <w:sz w:val="32"/>
      <w:szCs w:val="32"/>
      <w14:ligatures w14:val="none"/>
    </w:rPr>
  </w:style>
  <w:style w:type="character" w:styleId="Strong">
    <w:name w:val="Strong"/>
    <w:basedOn w:val="DefaultParagraphFont"/>
    <w:uiPriority w:val="22"/>
    <w:qFormat/>
    <w:rsid w:val="005D0665"/>
    <w:rPr>
      <w:b/>
      <w:bCs/>
    </w:rPr>
  </w:style>
  <w:style w:type="paragraph" w:styleId="TOCHeading">
    <w:name w:val="TOC Heading"/>
    <w:basedOn w:val="Heading1"/>
    <w:next w:val="Normal"/>
    <w:uiPriority w:val="39"/>
    <w:unhideWhenUsed/>
    <w:qFormat/>
    <w:rsid w:val="004C6EB3"/>
    <w:pPr>
      <w:outlineLvl w:val="9"/>
    </w:pPr>
    <w:rPr>
      <w:lang w:val="en-US"/>
    </w:rPr>
  </w:style>
  <w:style w:type="paragraph" w:styleId="TOC1">
    <w:name w:val="toc 1"/>
    <w:basedOn w:val="Normal"/>
    <w:next w:val="Normal"/>
    <w:autoRedefine/>
    <w:uiPriority w:val="39"/>
    <w:unhideWhenUsed/>
    <w:rsid w:val="004C6EB3"/>
    <w:pPr>
      <w:spacing w:after="100"/>
    </w:pPr>
  </w:style>
  <w:style w:type="character" w:styleId="Hyperlink">
    <w:name w:val="Hyperlink"/>
    <w:basedOn w:val="DefaultParagraphFont"/>
    <w:uiPriority w:val="99"/>
    <w:unhideWhenUsed/>
    <w:rsid w:val="004C6EB3"/>
    <w:rPr>
      <w:color w:val="0563C1" w:themeColor="hyperlink"/>
      <w:u w:val="single"/>
    </w:rPr>
  </w:style>
  <w:style w:type="character" w:customStyle="1" w:styleId="Heading2Char">
    <w:name w:val="Heading 2 Char"/>
    <w:basedOn w:val="DefaultParagraphFont"/>
    <w:link w:val="Heading2"/>
    <w:uiPriority w:val="9"/>
    <w:rsid w:val="00BC3CD9"/>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B40A94"/>
    <w:pPr>
      <w:spacing w:after="100"/>
      <w:ind w:left="220"/>
    </w:pPr>
  </w:style>
  <w:style w:type="paragraph" w:styleId="ListParagraph">
    <w:name w:val="List Paragraph"/>
    <w:basedOn w:val="Normal"/>
    <w:uiPriority w:val="34"/>
    <w:qFormat/>
    <w:rsid w:val="00335507"/>
    <w:pPr>
      <w:ind w:left="720"/>
      <w:contextualSpacing/>
    </w:pPr>
  </w:style>
  <w:style w:type="paragraph" w:styleId="NormalWeb">
    <w:name w:val="Normal (Web)"/>
    <w:basedOn w:val="Normal"/>
    <w:uiPriority w:val="99"/>
    <w:semiHidden/>
    <w:unhideWhenUsed/>
    <w:rsid w:val="00FF1AB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074">
      <w:bodyDiv w:val="1"/>
      <w:marLeft w:val="0"/>
      <w:marRight w:val="0"/>
      <w:marTop w:val="0"/>
      <w:marBottom w:val="0"/>
      <w:divBdr>
        <w:top w:val="none" w:sz="0" w:space="0" w:color="auto"/>
        <w:left w:val="none" w:sz="0" w:space="0" w:color="auto"/>
        <w:bottom w:val="none" w:sz="0" w:space="0" w:color="auto"/>
        <w:right w:val="none" w:sz="0" w:space="0" w:color="auto"/>
      </w:divBdr>
    </w:div>
    <w:div w:id="8289959">
      <w:bodyDiv w:val="1"/>
      <w:marLeft w:val="0"/>
      <w:marRight w:val="0"/>
      <w:marTop w:val="0"/>
      <w:marBottom w:val="0"/>
      <w:divBdr>
        <w:top w:val="none" w:sz="0" w:space="0" w:color="auto"/>
        <w:left w:val="none" w:sz="0" w:space="0" w:color="auto"/>
        <w:bottom w:val="none" w:sz="0" w:space="0" w:color="auto"/>
        <w:right w:val="none" w:sz="0" w:space="0" w:color="auto"/>
      </w:divBdr>
    </w:div>
    <w:div w:id="91317396">
      <w:bodyDiv w:val="1"/>
      <w:marLeft w:val="0"/>
      <w:marRight w:val="0"/>
      <w:marTop w:val="0"/>
      <w:marBottom w:val="0"/>
      <w:divBdr>
        <w:top w:val="none" w:sz="0" w:space="0" w:color="auto"/>
        <w:left w:val="none" w:sz="0" w:space="0" w:color="auto"/>
        <w:bottom w:val="none" w:sz="0" w:space="0" w:color="auto"/>
        <w:right w:val="none" w:sz="0" w:space="0" w:color="auto"/>
      </w:divBdr>
      <w:divsChild>
        <w:div w:id="1790933157">
          <w:marLeft w:val="0"/>
          <w:marRight w:val="0"/>
          <w:marTop w:val="0"/>
          <w:marBottom w:val="0"/>
          <w:divBdr>
            <w:top w:val="none" w:sz="0" w:space="0" w:color="auto"/>
            <w:left w:val="none" w:sz="0" w:space="0" w:color="auto"/>
            <w:bottom w:val="none" w:sz="0" w:space="0" w:color="auto"/>
            <w:right w:val="none" w:sz="0" w:space="0" w:color="auto"/>
          </w:divBdr>
        </w:div>
      </w:divsChild>
    </w:div>
    <w:div w:id="135339663">
      <w:bodyDiv w:val="1"/>
      <w:marLeft w:val="0"/>
      <w:marRight w:val="0"/>
      <w:marTop w:val="0"/>
      <w:marBottom w:val="0"/>
      <w:divBdr>
        <w:top w:val="none" w:sz="0" w:space="0" w:color="auto"/>
        <w:left w:val="none" w:sz="0" w:space="0" w:color="auto"/>
        <w:bottom w:val="none" w:sz="0" w:space="0" w:color="auto"/>
        <w:right w:val="none" w:sz="0" w:space="0" w:color="auto"/>
      </w:divBdr>
    </w:div>
    <w:div w:id="146554979">
      <w:bodyDiv w:val="1"/>
      <w:marLeft w:val="0"/>
      <w:marRight w:val="0"/>
      <w:marTop w:val="0"/>
      <w:marBottom w:val="0"/>
      <w:divBdr>
        <w:top w:val="none" w:sz="0" w:space="0" w:color="auto"/>
        <w:left w:val="none" w:sz="0" w:space="0" w:color="auto"/>
        <w:bottom w:val="none" w:sz="0" w:space="0" w:color="auto"/>
        <w:right w:val="none" w:sz="0" w:space="0" w:color="auto"/>
      </w:divBdr>
    </w:div>
    <w:div w:id="159581478">
      <w:bodyDiv w:val="1"/>
      <w:marLeft w:val="0"/>
      <w:marRight w:val="0"/>
      <w:marTop w:val="0"/>
      <w:marBottom w:val="0"/>
      <w:divBdr>
        <w:top w:val="none" w:sz="0" w:space="0" w:color="auto"/>
        <w:left w:val="none" w:sz="0" w:space="0" w:color="auto"/>
        <w:bottom w:val="none" w:sz="0" w:space="0" w:color="auto"/>
        <w:right w:val="none" w:sz="0" w:space="0" w:color="auto"/>
      </w:divBdr>
    </w:div>
    <w:div w:id="230316554">
      <w:bodyDiv w:val="1"/>
      <w:marLeft w:val="0"/>
      <w:marRight w:val="0"/>
      <w:marTop w:val="0"/>
      <w:marBottom w:val="0"/>
      <w:divBdr>
        <w:top w:val="none" w:sz="0" w:space="0" w:color="auto"/>
        <w:left w:val="none" w:sz="0" w:space="0" w:color="auto"/>
        <w:bottom w:val="none" w:sz="0" w:space="0" w:color="auto"/>
        <w:right w:val="none" w:sz="0" w:space="0" w:color="auto"/>
      </w:divBdr>
    </w:div>
    <w:div w:id="252974643">
      <w:bodyDiv w:val="1"/>
      <w:marLeft w:val="0"/>
      <w:marRight w:val="0"/>
      <w:marTop w:val="0"/>
      <w:marBottom w:val="0"/>
      <w:divBdr>
        <w:top w:val="none" w:sz="0" w:space="0" w:color="auto"/>
        <w:left w:val="none" w:sz="0" w:space="0" w:color="auto"/>
        <w:bottom w:val="none" w:sz="0" w:space="0" w:color="auto"/>
        <w:right w:val="none" w:sz="0" w:space="0" w:color="auto"/>
      </w:divBdr>
    </w:div>
    <w:div w:id="298848837">
      <w:bodyDiv w:val="1"/>
      <w:marLeft w:val="0"/>
      <w:marRight w:val="0"/>
      <w:marTop w:val="0"/>
      <w:marBottom w:val="0"/>
      <w:divBdr>
        <w:top w:val="none" w:sz="0" w:space="0" w:color="auto"/>
        <w:left w:val="none" w:sz="0" w:space="0" w:color="auto"/>
        <w:bottom w:val="none" w:sz="0" w:space="0" w:color="auto"/>
        <w:right w:val="none" w:sz="0" w:space="0" w:color="auto"/>
      </w:divBdr>
    </w:div>
    <w:div w:id="306859422">
      <w:bodyDiv w:val="1"/>
      <w:marLeft w:val="0"/>
      <w:marRight w:val="0"/>
      <w:marTop w:val="0"/>
      <w:marBottom w:val="0"/>
      <w:divBdr>
        <w:top w:val="none" w:sz="0" w:space="0" w:color="auto"/>
        <w:left w:val="none" w:sz="0" w:space="0" w:color="auto"/>
        <w:bottom w:val="none" w:sz="0" w:space="0" w:color="auto"/>
        <w:right w:val="none" w:sz="0" w:space="0" w:color="auto"/>
      </w:divBdr>
    </w:div>
    <w:div w:id="360594446">
      <w:bodyDiv w:val="1"/>
      <w:marLeft w:val="0"/>
      <w:marRight w:val="0"/>
      <w:marTop w:val="0"/>
      <w:marBottom w:val="0"/>
      <w:divBdr>
        <w:top w:val="none" w:sz="0" w:space="0" w:color="auto"/>
        <w:left w:val="none" w:sz="0" w:space="0" w:color="auto"/>
        <w:bottom w:val="none" w:sz="0" w:space="0" w:color="auto"/>
        <w:right w:val="none" w:sz="0" w:space="0" w:color="auto"/>
      </w:divBdr>
    </w:div>
    <w:div w:id="402798270">
      <w:bodyDiv w:val="1"/>
      <w:marLeft w:val="0"/>
      <w:marRight w:val="0"/>
      <w:marTop w:val="0"/>
      <w:marBottom w:val="0"/>
      <w:divBdr>
        <w:top w:val="none" w:sz="0" w:space="0" w:color="auto"/>
        <w:left w:val="none" w:sz="0" w:space="0" w:color="auto"/>
        <w:bottom w:val="none" w:sz="0" w:space="0" w:color="auto"/>
        <w:right w:val="none" w:sz="0" w:space="0" w:color="auto"/>
      </w:divBdr>
    </w:div>
    <w:div w:id="446775652">
      <w:bodyDiv w:val="1"/>
      <w:marLeft w:val="0"/>
      <w:marRight w:val="0"/>
      <w:marTop w:val="0"/>
      <w:marBottom w:val="0"/>
      <w:divBdr>
        <w:top w:val="none" w:sz="0" w:space="0" w:color="auto"/>
        <w:left w:val="none" w:sz="0" w:space="0" w:color="auto"/>
        <w:bottom w:val="none" w:sz="0" w:space="0" w:color="auto"/>
        <w:right w:val="none" w:sz="0" w:space="0" w:color="auto"/>
      </w:divBdr>
    </w:div>
    <w:div w:id="576523434">
      <w:bodyDiv w:val="1"/>
      <w:marLeft w:val="0"/>
      <w:marRight w:val="0"/>
      <w:marTop w:val="0"/>
      <w:marBottom w:val="0"/>
      <w:divBdr>
        <w:top w:val="none" w:sz="0" w:space="0" w:color="auto"/>
        <w:left w:val="none" w:sz="0" w:space="0" w:color="auto"/>
        <w:bottom w:val="none" w:sz="0" w:space="0" w:color="auto"/>
        <w:right w:val="none" w:sz="0" w:space="0" w:color="auto"/>
      </w:divBdr>
    </w:div>
    <w:div w:id="661010908">
      <w:bodyDiv w:val="1"/>
      <w:marLeft w:val="0"/>
      <w:marRight w:val="0"/>
      <w:marTop w:val="0"/>
      <w:marBottom w:val="0"/>
      <w:divBdr>
        <w:top w:val="none" w:sz="0" w:space="0" w:color="auto"/>
        <w:left w:val="none" w:sz="0" w:space="0" w:color="auto"/>
        <w:bottom w:val="none" w:sz="0" w:space="0" w:color="auto"/>
        <w:right w:val="none" w:sz="0" w:space="0" w:color="auto"/>
      </w:divBdr>
    </w:div>
    <w:div w:id="876965883">
      <w:bodyDiv w:val="1"/>
      <w:marLeft w:val="0"/>
      <w:marRight w:val="0"/>
      <w:marTop w:val="0"/>
      <w:marBottom w:val="0"/>
      <w:divBdr>
        <w:top w:val="none" w:sz="0" w:space="0" w:color="auto"/>
        <w:left w:val="none" w:sz="0" w:space="0" w:color="auto"/>
        <w:bottom w:val="none" w:sz="0" w:space="0" w:color="auto"/>
        <w:right w:val="none" w:sz="0" w:space="0" w:color="auto"/>
      </w:divBdr>
    </w:div>
    <w:div w:id="887568982">
      <w:bodyDiv w:val="1"/>
      <w:marLeft w:val="0"/>
      <w:marRight w:val="0"/>
      <w:marTop w:val="0"/>
      <w:marBottom w:val="0"/>
      <w:divBdr>
        <w:top w:val="none" w:sz="0" w:space="0" w:color="auto"/>
        <w:left w:val="none" w:sz="0" w:space="0" w:color="auto"/>
        <w:bottom w:val="none" w:sz="0" w:space="0" w:color="auto"/>
        <w:right w:val="none" w:sz="0" w:space="0" w:color="auto"/>
      </w:divBdr>
    </w:div>
    <w:div w:id="1000353053">
      <w:bodyDiv w:val="1"/>
      <w:marLeft w:val="0"/>
      <w:marRight w:val="0"/>
      <w:marTop w:val="0"/>
      <w:marBottom w:val="0"/>
      <w:divBdr>
        <w:top w:val="none" w:sz="0" w:space="0" w:color="auto"/>
        <w:left w:val="none" w:sz="0" w:space="0" w:color="auto"/>
        <w:bottom w:val="none" w:sz="0" w:space="0" w:color="auto"/>
        <w:right w:val="none" w:sz="0" w:space="0" w:color="auto"/>
      </w:divBdr>
    </w:div>
    <w:div w:id="1024866044">
      <w:bodyDiv w:val="1"/>
      <w:marLeft w:val="0"/>
      <w:marRight w:val="0"/>
      <w:marTop w:val="0"/>
      <w:marBottom w:val="0"/>
      <w:divBdr>
        <w:top w:val="none" w:sz="0" w:space="0" w:color="auto"/>
        <w:left w:val="none" w:sz="0" w:space="0" w:color="auto"/>
        <w:bottom w:val="none" w:sz="0" w:space="0" w:color="auto"/>
        <w:right w:val="none" w:sz="0" w:space="0" w:color="auto"/>
      </w:divBdr>
    </w:div>
    <w:div w:id="1076173044">
      <w:bodyDiv w:val="1"/>
      <w:marLeft w:val="0"/>
      <w:marRight w:val="0"/>
      <w:marTop w:val="0"/>
      <w:marBottom w:val="0"/>
      <w:divBdr>
        <w:top w:val="none" w:sz="0" w:space="0" w:color="auto"/>
        <w:left w:val="none" w:sz="0" w:space="0" w:color="auto"/>
        <w:bottom w:val="none" w:sz="0" w:space="0" w:color="auto"/>
        <w:right w:val="none" w:sz="0" w:space="0" w:color="auto"/>
      </w:divBdr>
    </w:div>
    <w:div w:id="1085304601">
      <w:bodyDiv w:val="1"/>
      <w:marLeft w:val="0"/>
      <w:marRight w:val="0"/>
      <w:marTop w:val="0"/>
      <w:marBottom w:val="0"/>
      <w:divBdr>
        <w:top w:val="none" w:sz="0" w:space="0" w:color="auto"/>
        <w:left w:val="none" w:sz="0" w:space="0" w:color="auto"/>
        <w:bottom w:val="none" w:sz="0" w:space="0" w:color="auto"/>
        <w:right w:val="none" w:sz="0" w:space="0" w:color="auto"/>
      </w:divBdr>
    </w:div>
    <w:div w:id="1118916677">
      <w:bodyDiv w:val="1"/>
      <w:marLeft w:val="0"/>
      <w:marRight w:val="0"/>
      <w:marTop w:val="0"/>
      <w:marBottom w:val="0"/>
      <w:divBdr>
        <w:top w:val="none" w:sz="0" w:space="0" w:color="auto"/>
        <w:left w:val="none" w:sz="0" w:space="0" w:color="auto"/>
        <w:bottom w:val="none" w:sz="0" w:space="0" w:color="auto"/>
        <w:right w:val="none" w:sz="0" w:space="0" w:color="auto"/>
      </w:divBdr>
    </w:div>
    <w:div w:id="1204487594">
      <w:bodyDiv w:val="1"/>
      <w:marLeft w:val="0"/>
      <w:marRight w:val="0"/>
      <w:marTop w:val="0"/>
      <w:marBottom w:val="0"/>
      <w:divBdr>
        <w:top w:val="none" w:sz="0" w:space="0" w:color="auto"/>
        <w:left w:val="none" w:sz="0" w:space="0" w:color="auto"/>
        <w:bottom w:val="none" w:sz="0" w:space="0" w:color="auto"/>
        <w:right w:val="none" w:sz="0" w:space="0" w:color="auto"/>
      </w:divBdr>
    </w:div>
    <w:div w:id="1298143977">
      <w:bodyDiv w:val="1"/>
      <w:marLeft w:val="0"/>
      <w:marRight w:val="0"/>
      <w:marTop w:val="0"/>
      <w:marBottom w:val="0"/>
      <w:divBdr>
        <w:top w:val="none" w:sz="0" w:space="0" w:color="auto"/>
        <w:left w:val="none" w:sz="0" w:space="0" w:color="auto"/>
        <w:bottom w:val="none" w:sz="0" w:space="0" w:color="auto"/>
        <w:right w:val="none" w:sz="0" w:space="0" w:color="auto"/>
      </w:divBdr>
    </w:div>
    <w:div w:id="1325477898">
      <w:bodyDiv w:val="1"/>
      <w:marLeft w:val="0"/>
      <w:marRight w:val="0"/>
      <w:marTop w:val="0"/>
      <w:marBottom w:val="0"/>
      <w:divBdr>
        <w:top w:val="none" w:sz="0" w:space="0" w:color="auto"/>
        <w:left w:val="none" w:sz="0" w:space="0" w:color="auto"/>
        <w:bottom w:val="none" w:sz="0" w:space="0" w:color="auto"/>
        <w:right w:val="none" w:sz="0" w:space="0" w:color="auto"/>
      </w:divBdr>
    </w:div>
    <w:div w:id="1361318178">
      <w:bodyDiv w:val="1"/>
      <w:marLeft w:val="0"/>
      <w:marRight w:val="0"/>
      <w:marTop w:val="0"/>
      <w:marBottom w:val="0"/>
      <w:divBdr>
        <w:top w:val="none" w:sz="0" w:space="0" w:color="auto"/>
        <w:left w:val="none" w:sz="0" w:space="0" w:color="auto"/>
        <w:bottom w:val="none" w:sz="0" w:space="0" w:color="auto"/>
        <w:right w:val="none" w:sz="0" w:space="0" w:color="auto"/>
      </w:divBdr>
    </w:div>
    <w:div w:id="1382483324">
      <w:bodyDiv w:val="1"/>
      <w:marLeft w:val="0"/>
      <w:marRight w:val="0"/>
      <w:marTop w:val="0"/>
      <w:marBottom w:val="0"/>
      <w:divBdr>
        <w:top w:val="none" w:sz="0" w:space="0" w:color="auto"/>
        <w:left w:val="none" w:sz="0" w:space="0" w:color="auto"/>
        <w:bottom w:val="none" w:sz="0" w:space="0" w:color="auto"/>
        <w:right w:val="none" w:sz="0" w:space="0" w:color="auto"/>
      </w:divBdr>
    </w:div>
    <w:div w:id="1517187657">
      <w:bodyDiv w:val="1"/>
      <w:marLeft w:val="0"/>
      <w:marRight w:val="0"/>
      <w:marTop w:val="0"/>
      <w:marBottom w:val="0"/>
      <w:divBdr>
        <w:top w:val="none" w:sz="0" w:space="0" w:color="auto"/>
        <w:left w:val="none" w:sz="0" w:space="0" w:color="auto"/>
        <w:bottom w:val="none" w:sz="0" w:space="0" w:color="auto"/>
        <w:right w:val="none" w:sz="0" w:space="0" w:color="auto"/>
      </w:divBdr>
      <w:divsChild>
        <w:div w:id="346447157">
          <w:marLeft w:val="0"/>
          <w:marRight w:val="0"/>
          <w:marTop w:val="0"/>
          <w:marBottom w:val="0"/>
          <w:divBdr>
            <w:top w:val="none" w:sz="0" w:space="0" w:color="auto"/>
            <w:left w:val="none" w:sz="0" w:space="0" w:color="auto"/>
            <w:bottom w:val="none" w:sz="0" w:space="0" w:color="auto"/>
            <w:right w:val="none" w:sz="0" w:space="0" w:color="auto"/>
          </w:divBdr>
        </w:div>
      </w:divsChild>
    </w:div>
    <w:div w:id="1531332505">
      <w:bodyDiv w:val="1"/>
      <w:marLeft w:val="0"/>
      <w:marRight w:val="0"/>
      <w:marTop w:val="0"/>
      <w:marBottom w:val="0"/>
      <w:divBdr>
        <w:top w:val="none" w:sz="0" w:space="0" w:color="auto"/>
        <w:left w:val="none" w:sz="0" w:space="0" w:color="auto"/>
        <w:bottom w:val="none" w:sz="0" w:space="0" w:color="auto"/>
        <w:right w:val="none" w:sz="0" w:space="0" w:color="auto"/>
      </w:divBdr>
    </w:div>
    <w:div w:id="1750884128">
      <w:bodyDiv w:val="1"/>
      <w:marLeft w:val="0"/>
      <w:marRight w:val="0"/>
      <w:marTop w:val="0"/>
      <w:marBottom w:val="0"/>
      <w:divBdr>
        <w:top w:val="none" w:sz="0" w:space="0" w:color="auto"/>
        <w:left w:val="none" w:sz="0" w:space="0" w:color="auto"/>
        <w:bottom w:val="none" w:sz="0" w:space="0" w:color="auto"/>
        <w:right w:val="none" w:sz="0" w:space="0" w:color="auto"/>
      </w:divBdr>
    </w:div>
    <w:div w:id="1822035137">
      <w:bodyDiv w:val="1"/>
      <w:marLeft w:val="0"/>
      <w:marRight w:val="0"/>
      <w:marTop w:val="0"/>
      <w:marBottom w:val="0"/>
      <w:divBdr>
        <w:top w:val="none" w:sz="0" w:space="0" w:color="auto"/>
        <w:left w:val="none" w:sz="0" w:space="0" w:color="auto"/>
        <w:bottom w:val="none" w:sz="0" w:space="0" w:color="auto"/>
        <w:right w:val="none" w:sz="0" w:space="0" w:color="auto"/>
      </w:divBdr>
    </w:div>
    <w:div w:id="1870213551">
      <w:bodyDiv w:val="1"/>
      <w:marLeft w:val="0"/>
      <w:marRight w:val="0"/>
      <w:marTop w:val="0"/>
      <w:marBottom w:val="0"/>
      <w:divBdr>
        <w:top w:val="none" w:sz="0" w:space="0" w:color="auto"/>
        <w:left w:val="none" w:sz="0" w:space="0" w:color="auto"/>
        <w:bottom w:val="none" w:sz="0" w:space="0" w:color="auto"/>
        <w:right w:val="none" w:sz="0" w:space="0" w:color="auto"/>
      </w:divBdr>
    </w:div>
    <w:div w:id="1894345142">
      <w:bodyDiv w:val="1"/>
      <w:marLeft w:val="0"/>
      <w:marRight w:val="0"/>
      <w:marTop w:val="0"/>
      <w:marBottom w:val="0"/>
      <w:divBdr>
        <w:top w:val="none" w:sz="0" w:space="0" w:color="auto"/>
        <w:left w:val="none" w:sz="0" w:space="0" w:color="auto"/>
        <w:bottom w:val="none" w:sz="0" w:space="0" w:color="auto"/>
        <w:right w:val="none" w:sz="0" w:space="0" w:color="auto"/>
      </w:divBdr>
    </w:div>
    <w:div w:id="1999188383">
      <w:bodyDiv w:val="1"/>
      <w:marLeft w:val="0"/>
      <w:marRight w:val="0"/>
      <w:marTop w:val="0"/>
      <w:marBottom w:val="0"/>
      <w:divBdr>
        <w:top w:val="none" w:sz="0" w:space="0" w:color="auto"/>
        <w:left w:val="none" w:sz="0" w:space="0" w:color="auto"/>
        <w:bottom w:val="none" w:sz="0" w:space="0" w:color="auto"/>
        <w:right w:val="none" w:sz="0" w:space="0" w:color="auto"/>
      </w:divBdr>
    </w:div>
    <w:div w:id="2010598647">
      <w:bodyDiv w:val="1"/>
      <w:marLeft w:val="0"/>
      <w:marRight w:val="0"/>
      <w:marTop w:val="0"/>
      <w:marBottom w:val="0"/>
      <w:divBdr>
        <w:top w:val="none" w:sz="0" w:space="0" w:color="auto"/>
        <w:left w:val="none" w:sz="0" w:space="0" w:color="auto"/>
        <w:bottom w:val="none" w:sz="0" w:space="0" w:color="auto"/>
        <w:right w:val="none" w:sz="0" w:space="0" w:color="auto"/>
      </w:divBdr>
    </w:div>
    <w:div w:id="211682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A7862-701D-4703-924E-CB8443C3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9</Pages>
  <Words>2656</Words>
  <Characters>17802</Characters>
  <Application>Microsoft Office Word</Application>
  <DocSecurity>0</DocSecurity>
  <Lines>291</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46</cp:revision>
  <dcterms:created xsi:type="dcterms:W3CDTF">2024-05-07T20:16:00Z</dcterms:created>
  <dcterms:modified xsi:type="dcterms:W3CDTF">2024-05-22T16:10:00Z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08fd05e3-bb61-4922-af45-61d1a09a5794</vt:lpwstr>
  </property>
</Properties>
</file>